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19618" w14:textId="5C6E6285" w:rsidR="005936C9" w:rsidRPr="00A77AAD" w:rsidRDefault="005936C9" w:rsidP="005936C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</w:pPr>
      <w:bookmarkStart w:id="0" w:name="_GoBack"/>
      <w:bookmarkEnd w:id="0"/>
      <w:r w:rsidRPr="00A77AAD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Associate General Counsel, Labor </w:t>
      </w:r>
      <w:r w:rsidR="00F2594E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&amp; Employment </w:t>
      </w:r>
      <w:r w:rsidRPr="00A77AAD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Law</w:t>
      </w:r>
    </w:p>
    <w:p w14:paraId="34780B29" w14:textId="77777777" w:rsidR="00C00B57" w:rsidRPr="00A77AAD" w:rsidRDefault="00C00B57" w:rsidP="005936C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</w:pPr>
    </w:p>
    <w:p w14:paraId="7C50E1B5" w14:textId="77777777" w:rsidR="00C00B57" w:rsidRPr="00A77AAD" w:rsidRDefault="00C00B57" w:rsidP="00C00B57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A77AAD">
        <w:rPr>
          <w:rFonts w:asciiTheme="minorHAnsi" w:hAnsiTheme="minorHAnsi" w:cstheme="minorHAnsi"/>
          <w:sz w:val="22"/>
          <w:szCs w:val="22"/>
          <w:u w:val="single"/>
        </w:rPr>
        <w:t>Primary Purpose of the Position</w:t>
      </w:r>
    </w:p>
    <w:p w14:paraId="45EFD756" w14:textId="35774AEA" w:rsidR="00C00B57" w:rsidRPr="00A77AAD" w:rsidRDefault="00C00B57" w:rsidP="00C00B57">
      <w:pPr>
        <w:spacing w:after="0"/>
        <w:ind w:left="720"/>
      </w:pPr>
      <w:r w:rsidRPr="00A77AAD">
        <w:t xml:space="preserve">Acting under the </w:t>
      </w:r>
      <w:r w:rsidR="000C2616">
        <w:t>oversight</w:t>
      </w:r>
      <w:r w:rsidR="000C2616" w:rsidRPr="00A77AAD">
        <w:t xml:space="preserve"> </w:t>
      </w:r>
      <w:r w:rsidRPr="00A77AAD">
        <w:t>of the Deputy General Counsel and Chief Compliance Officer, the position incumbent will be primarily responsible for</w:t>
      </w:r>
      <w:r w:rsidR="000C2616">
        <w:t xml:space="preserve"> providing advice and counsel regarding labor and employment matters involving</w:t>
      </w:r>
      <w:r w:rsidRPr="00A77AAD">
        <w:t xml:space="preserve"> </w:t>
      </w:r>
      <w:r w:rsidR="00E77AEF">
        <w:t>University of Maine System (“UMS”</w:t>
      </w:r>
      <w:r w:rsidR="00820C1E">
        <w:t xml:space="preserve"> or “System”</w:t>
      </w:r>
      <w:r w:rsidR="00E77AEF">
        <w:t>)</w:t>
      </w:r>
      <w:r w:rsidR="000C2616">
        <w:t xml:space="preserve"> </w:t>
      </w:r>
      <w:r w:rsidRPr="00A77AAD">
        <w:t xml:space="preserve">faculty, staff, and student </w:t>
      </w:r>
      <w:r w:rsidR="000C2616">
        <w:t>employees</w:t>
      </w:r>
      <w:r w:rsidR="00E77AEF">
        <w:t xml:space="preserve"> and labor unions</w:t>
      </w:r>
      <w:r w:rsidR="008964B0">
        <w:t>,</w:t>
      </w:r>
      <w:r w:rsidRPr="00A77AAD">
        <w:t xml:space="preserve"> including</w:t>
      </w:r>
      <w:r w:rsidR="000C2616">
        <w:t>,</w:t>
      </w:r>
      <w:r w:rsidRPr="00A77AAD">
        <w:t xml:space="preserve"> but not limited to: general HR matters; </w:t>
      </w:r>
      <w:r w:rsidR="00D43922">
        <w:t xml:space="preserve">faculty and tenure matters; </w:t>
      </w:r>
      <w:r w:rsidRPr="00A77AAD">
        <w:t>collective bargaining</w:t>
      </w:r>
      <w:r w:rsidR="00E77AEF">
        <w:t xml:space="preserve"> administration and negotiation</w:t>
      </w:r>
      <w:r w:rsidRPr="00A77AAD">
        <w:t xml:space="preserve"> matters; Title IX; and Equal Opportunity (“EO”) matters. More generally, the position incumbent will exercise independent judgment to provide timely legal advice to UMS </w:t>
      </w:r>
      <w:r w:rsidR="00E77AEF">
        <w:t>universiti</w:t>
      </w:r>
      <w:r w:rsidR="00E77AEF" w:rsidRPr="00A77AAD">
        <w:t xml:space="preserve">es </w:t>
      </w:r>
      <w:r w:rsidRPr="00A77AAD">
        <w:t xml:space="preserve">and personnel, expanding preventative legal education and supporting UMS personnel to have greater self-reliance in handling legal matters affecting higher education and System enterprise risk </w:t>
      </w:r>
      <w:r w:rsidR="00FE7EEE">
        <w:t xml:space="preserve">management </w:t>
      </w:r>
      <w:r w:rsidR="00431567">
        <w:t>as</w:t>
      </w:r>
      <w:r w:rsidRPr="00A77AAD">
        <w:t xml:space="preserve"> appropriate.</w:t>
      </w:r>
    </w:p>
    <w:p w14:paraId="1D24DE61" w14:textId="77777777" w:rsidR="00C00B57" w:rsidRPr="00A77AAD" w:rsidRDefault="00C00B57" w:rsidP="00C00B5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2A73E470" w14:textId="77777777" w:rsidR="00C00B57" w:rsidRPr="007E719B" w:rsidRDefault="00C00B57" w:rsidP="00C00B57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7E719B">
        <w:rPr>
          <w:rFonts w:asciiTheme="minorHAnsi" w:hAnsiTheme="minorHAnsi" w:cstheme="minorHAnsi"/>
          <w:sz w:val="22"/>
          <w:szCs w:val="22"/>
          <w:u w:val="single"/>
        </w:rPr>
        <w:t>Essential Functions</w:t>
      </w:r>
    </w:p>
    <w:p w14:paraId="3B0F752E" w14:textId="3C81D0E5" w:rsidR="005936C9" w:rsidRPr="00A77AAD" w:rsidRDefault="00C00B57" w:rsidP="00C00B57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Provide </w:t>
      </w:r>
      <w:r w:rsidR="00820C1E">
        <w:rPr>
          <w:rFonts w:asciiTheme="minorHAnsi" w:hAnsiTheme="minorHAnsi" w:cstheme="minorHAnsi"/>
          <w:color w:val="333333"/>
          <w:sz w:val="22"/>
          <w:szCs w:val="22"/>
        </w:rPr>
        <w:t xml:space="preserve">legal 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advice, 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>opinions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0342A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and counsel 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regarding requests for legal assistance from </w:t>
      </w:r>
      <w:r w:rsidR="00E77AEF">
        <w:rPr>
          <w:rFonts w:asciiTheme="minorHAnsi" w:hAnsiTheme="minorHAnsi" w:cstheme="minorHAnsi"/>
          <w:color w:val="333333"/>
          <w:sz w:val="22"/>
          <w:szCs w:val="22"/>
        </w:rPr>
        <w:t>university</w:t>
      </w:r>
      <w:r w:rsidR="00E77AEF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>liaison</w:t>
      </w:r>
      <w:r w:rsidR="00E0342A" w:rsidRPr="00A77AAD">
        <w:rPr>
          <w:rFonts w:asciiTheme="minorHAnsi" w:hAnsiTheme="minorHAnsi" w:cstheme="minorHAnsi"/>
          <w:color w:val="333333"/>
          <w:sz w:val="22"/>
          <w:szCs w:val="22"/>
        </w:rPr>
        <w:t>s and other System personnel</w:t>
      </w:r>
      <w:r w:rsidR="00775A3B">
        <w:rPr>
          <w:rFonts w:asciiTheme="minorHAnsi" w:hAnsiTheme="minorHAnsi" w:cstheme="minorHAnsi"/>
          <w:color w:val="333333"/>
          <w:sz w:val="22"/>
          <w:szCs w:val="22"/>
        </w:rPr>
        <w:t xml:space="preserve"> and administration</w:t>
      </w:r>
      <w:r w:rsidR="00E0342A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focused in the areas of:</w:t>
      </w:r>
    </w:p>
    <w:p w14:paraId="5B0F2D0B" w14:textId="5B37AB85" w:rsidR="00C00B57" w:rsidRPr="00A77AAD" w:rsidRDefault="00C00B57" w:rsidP="00C00B57">
      <w:pPr>
        <w:pStyle w:val="NormalWeb"/>
        <w:numPr>
          <w:ilvl w:val="1"/>
          <w:numId w:val="6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  <w:r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Labor Relations matters 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>including</w:t>
      </w:r>
      <w:r w:rsidR="005D276E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023BD1" w:rsidRPr="00A77AAD">
        <w:rPr>
          <w:rFonts w:asciiTheme="minorHAnsi" w:hAnsiTheme="minorHAnsi" w:cstheme="minorHAnsi"/>
          <w:color w:val="333333"/>
          <w:sz w:val="22"/>
          <w:szCs w:val="22"/>
        </w:rPr>
        <w:t>but not limited to</w:t>
      </w:r>
      <w:r w:rsidR="005D276E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023BD1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grievances, </w:t>
      </w:r>
      <w:r w:rsidR="00D57F1C">
        <w:rPr>
          <w:rFonts w:asciiTheme="minorHAnsi" w:hAnsiTheme="minorHAnsi" w:cstheme="minorHAnsi"/>
          <w:color w:val="333333"/>
          <w:sz w:val="22"/>
          <w:szCs w:val="22"/>
        </w:rPr>
        <w:t>arbitrations</w:t>
      </w:r>
      <w:r w:rsidR="00023BD1" w:rsidRPr="00A77AAD">
        <w:rPr>
          <w:rFonts w:asciiTheme="minorHAnsi" w:hAnsiTheme="minorHAnsi" w:cstheme="minorHAnsi"/>
          <w:color w:val="333333"/>
          <w:sz w:val="22"/>
          <w:szCs w:val="22"/>
        </w:rPr>
        <w:t>, administrative complaints,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>dispute reso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>lution</w:t>
      </w:r>
      <w:r w:rsidR="00023BD1" w:rsidRPr="00A77AAD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and employee discipline; </w:t>
      </w:r>
    </w:p>
    <w:p w14:paraId="703FD5D6" w14:textId="21B3AECA" w:rsidR="00023BD1" w:rsidRPr="00A77AAD" w:rsidRDefault="00775A3B" w:rsidP="00023BD1">
      <w:pPr>
        <w:pStyle w:val="NormalWeb"/>
        <w:numPr>
          <w:ilvl w:val="1"/>
          <w:numId w:val="6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Collective</w:t>
      </w:r>
      <w:r w:rsidR="00D57F1C">
        <w:rPr>
          <w:rFonts w:asciiTheme="minorHAnsi" w:hAnsiTheme="minorHAnsi" w:cstheme="minorHAnsi"/>
          <w:color w:val="333333"/>
          <w:sz w:val="22"/>
          <w:szCs w:val="22"/>
        </w:rPr>
        <w:t xml:space="preserve"> bargaining strategy</w:t>
      </w:r>
      <w:r w:rsidR="00023BD1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and engaging in collective bargaining</w:t>
      </w:r>
      <w:r w:rsidR="00CE3EB2">
        <w:rPr>
          <w:rFonts w:asciiTheme="minorHAnsi" w:hAnsiTheme="minorHAnsi" w:cstheme="minorHAnsi"/>
          <w:color w:val="333333"/>
          <w:sz w:val="22"/>
          <w:szCs w:val="22"/>
        </w:rPr>
        <w:t xml:space="preserve"> negotiations</w:t>
      </w:r>
      <w:r w:rsidR="00D57F1C">
        <w:rPr>
          <w:rFonts w:asciiTheme="minorHAnsi" w:hAnsiTheme="minorHAnsi" w:cstheme="minorHAnsi"/>
          <w:color w:val="333333"/>
          <w:sz w:val="22"/>
          <w:szCs w:val="22"/>
        </w:rPr>
        <w:t xml:space="preserve"> and labor contract administration, including through</w:t>
      </w:r>
      <w:r w:rsidR="00D57F1C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advisory memoranda</w:t>
      </w:r>
      <w:r w:rsidR="00D57F1C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D57F1C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documents</w:t>
      </w:r>
      <w:r w:rsidR="00D57F1C">
        <w:rPr>
          <w:rFonts w:asciiTheme="minorHAnsi" w:hAnsiTheme="minorHAnsi" w:cstheme="minorHAnsi"/>
          <w:color w:val="333333"/>
          <w:sz w:val="22"/>
          <w:szCs w:val="22"/>
        </w:rPr>
        <w:t>, and briefings</w:t>
      </w:r>
      <w:r w:rsidR="00D57F1C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relating to collective bargaining agreements</w:t>
      </w:r>
      <w:r w:rsidR="00D57F1C">
        <w:rPr>
          <w:rFonts w:asciiTheme="minorHAnsi" w:hAnsiTheme="minorHAnsi" w:cstheme="minorHAnsi"/>
          <w:color w:val="333333"/>
          <w:sz w:val="22"/>
          <w:szCs w:val="22"/>
        </w:rPr>
        <w:t xml:space="preserve"> and</w:t>
      </w:r>
      <w:r w:rsidR="00D57F1C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agency proceedings</w:t>
      </w:r>
      <w:r w:rsidR="00D57F1C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14:paraId="5BFB6096" w14:textId="1711583B" w:rsidR="00C00B57" w:rsidRPr="00A77AAD" w:rsidRDefault="00775A3B" w:rsidP="00C00B57">
      <w:pPr>
        <w:pStyle w:val="NormalWeb"/>
        <w:numPr>
          <w:ilvl w:val="1"/>
          <w:numId w:val="6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T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raining for managers, supervisors and management officials concerning rights and obligations under the </w:t>
      </w:r>
      <w:r w:rsidR="00D57F1C">
        <w:rPr>
          <w:rFonts w:asciiTheme="minorHAnsi" w:hAnsiTheme="minorHAnsi" w:cstheme="minorHAnsi"/>
          <w:color w:val="333333"/>
          <w:sz w:val="22"/>
          <w:szCs w:val="22"/>
        </w:rPr>
        <w:t xml:space="preserve">University of 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>Maine</w:t>
      </w:r>
      <w:r w:rsidR="00D57F1C">
        <w:rPr>
          <w:rFonts w:asciiTheme="minorHAnsi" w:hAnsiTheme="minorHAnsi" w:cstheme="minorHAnsi"/>
          <w:color w:val="333333"/>
          <w:sz w:val="22"/>
          <w:szCs w:val="22"/>
        </w:rPr>
        <w:t xml:space="preserve"> System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Labor Relations </w:t>
      </w:r>
      <w:r w:rsidR="00D57F1C">
        <w:rPr>
          <w:rFonts w:asciiTheme="minorHAnsi" w:hAnsiTheme="minorHAnsi" w:cstheme="minorHAnsi"/>
          <w:color w:val="333333"/>
          <w:sz w:val="22"/>
          <w:szCs w:val="22"/>
        </w:rPr>
        <w:t>Act and related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applicable </w:t>
      </w:r>
      <w:r w:rsidR="00C10B4C">
        <w:rPr>
          <w:rFonts w:asciiTheme="minorHAnsi" w:hAnsiTheme="minorHAnsi" w:cstheme="minorHAnsi"/>
          <w:color w:val="333333"/>
          <w:sz w:val="22"/>
          <w:szCs w:val="22"/>
        </w:rPr>
        <w:t xml:space="preserve">state and federal 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>lab</w:t>
      </w:r>
      <w:r w:rsidR="00023BD1" w:rsidRPr="00A77AAD">
        <w:rPr>
          <w:rFonts w:asciiTheme="minorHAnsi" w:hAnsiTheme="minorHAnsi" w:cstheme="minorHAnsi"/>
          <w:color w:val="333333"/>
          <w:sz w:val="22"/>
          <w:szCs w:val="22"/>
        </w:rPr>
        <w:t>or law, policies and procedures;</w:t>
      </w:r>
    </w:p>
    <w:p w14:paraId="55B53F6B" w14:textId="59251043" w:rsidR="00023BD1" w:rsidRPr="00A77AAD" w:rsidRDefault="00023BD1" w:rsidP="00C00B57">
      <w:pPr>
        <w:pStyle w:val="NormalWeb"/>
        <w:numPr>
          <w:ilvl w:val="1"/>
          <w:numId w:val="6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  <w:r w:rsidRPr="00A77AAD">
        <w:rPr>
          <w:rFonts w:asciiTheme="minorHAnsi" w:hAnsiTheme="minorHAnsi" w:cstheme="minorHAnsi"/>
          <w:color w:val="333333"/>
          <w:sz w:val="22"/>
          <w:szCs w:val="22"/>
        </w:rPr>
        <w:t>G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>eneral employment matters</w:t>
      </w:r>
      <w:r w:rsidR="00C0528A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including but not limited to</w:t>
      </w:r>
      <w:r w:rsidR="00C0528A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8548F">
        <w:rPr>
          <w:rFonts w:asciiTheme="minorHAnsi" w:hAnsiTheme="minorHAnsi" w:cstheme="minorHAnsi"/>
          <w:color w:val="333333"/>
          <w:sz w:val="22"/>
          <w:szCs w:val="22"/>
        </w:rPr>
        <w:t xml:space="preserve">hiring, </w:t>
      </w:r>
      <w:r w:rsidR="00D57F1C">
        <w:rPr>
          <w:rFonts w:asciiTheme="minorHAnsi" w:hAnsiTheme="minorHAnsi" w:cstheme="minorHAnsi"/>
          <w:color w:val="333333"/>
          <w:sz w:val="22"/>
          <w:szCs w:val="22"/>
        </w:rPr>
        <w:t>separation</w:t>
      </w:r>
      <w:r w:rsidR="0058548F">
        <w:rPr>
          <w:rFonts w:asciiTheme="minorHAnsi" w:hAnsiTheme="minorHAnsi" w:cstheme="minorHAnsi"/>
          <w:color w:val="333333"/>
          <w:sz w:val="22"/>
          <w:szCs w:val="22"/>
        </w:rPr>
        <w:t>, employee discipline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58548F">
        <w:rPr>
          <w:rFonts w:asciiTheme="minorHAnsi" w:hAnsiTheme="minorHAnsi" w:cstheme="minorHAnsi"/>
          <w:color w:val="333333"/>
          <w:sz w:val="22"/>
          <w:szCs w:val="22"/>
        </w:rPr>
        <w:t xml:space="preserve"> internal</w:t>
      </w:r>
      <w:r w:rsidR="00A77AAD">
        <w:rPr>
          <w:rFonts w:asciiTheme="minorHAnsi" w:hAnsiTheme="minorHAnsi" w:cstheme="minorHAnsi"/>
          <w:color w:val="333333"/>
          <w:sz w:val="22"/>
          <w:szCs w:val="22"/>
        </w:rPr>
        <w:t xml:space="preserve"> investigations,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workers' compensation</w:t>
      </w:r>
      <w:r w:rsidR="00C376D1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651BB3">
        <w:rPr>
          <w:rFonts w:asciiTheme="minorHAnsi" w:hAnsiTheme="minorHAnsi" w:cstheme="minorHAnsi"/>
          <w:color w:val="333333"/>
          <w:sz w:val="22"/>
          <w:szCs w:val="22"/>
        </w:rPr>
        <w:t xml:space="preserve">and 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wage and hour </w:t>
      </w:r>
      <w:r w:rsidR="00D57F1C">
        <w:rPr>
          <w:rFonts w:asciiTheme="minorHAnsi" w:hAnsiTheme="minorHAnsi" w:cstheme="minorHAnsi"/>
          <w:color w:val="333333"/>
          <w:sz w:val="22"/>
          <w:szCs w:val="22"/>
        </w:rPr>
        <w:t>matters involving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University employees</w:t>
      </w:r>
      <w:r w:rsidR="00651BB3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14:paraId="254EDF6A" w14:textId="0B5A3DDA" w:rsidR="00C00B57" w:rsidRPr="00651BB3" w:rsidRDefault="00651BB3" w:rsidP="00651BB3">
      <w:pPr>
        <w:pStyle w:val="NormalWeb"/>
        <w:numPr>
          <w:ilvl w:val="1"/>
          <w:numId w:val="6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Investigating and advising on allegations of 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>wrong</w:t>
      </w:r>
      <w:r>
        <w:rPr>
          <w:rFonts w:asciiTheme="minorHAnsi" w:hAnsiTheme="minorHAnsi" w:cstheme="minorHAnsi"/>
          <w:color w:val="333333"/>
          <w:sz w:val="22"/>
          <w:szCs w:val="22"/>
        </w:rPr>
        <w:t>doing, including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harassment, discrimination and wrongful 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>termination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, and participating in the University’s response to and defense of these and other labor and employment </w:t>
      </w:r>
      <w:r w:rsidR="00A77AAD" w:rsidRPr="00651BB3">
        <w:rPr>
          <w:rFonts w:asciiTheme="minorHAnsi" w:hAnsiTheme="minorHAnsi" w:cstheme="minorHAnsi"/>
          <w:color w:val="333333"/>
          <w:sz w:val="22"/>
          <w:szCs w:val="22"/>
        </w:rPr>
        <w:t>matters in litigation;</w:t>
      </w:r>
      <w:r w:rsidR="00D57F1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0308C33B" w14:textId="77777777" w:rsidR="00D57F1C" w:rsidRPr="00300A68" w:rsidRDefault="00023BD1" w:rsidP="00C00B57">
      <w:pPr>
        <w:pStyle w:val="NormalWeb"/>
        <w:numPr>
          <w:ilvl w:val="1"/>
          <w:numId w:val="6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  <w:r w:rsidRPr="00A77AAD">
        <w:rPr>
          <w:rFonts w:asciiTheme="minorHAnsi" w:hAnsiTheme="minorHAnsi" w:cstheme="minorHAnsi"/>
          <w:color w:val="333333"/>
          <w:sz w:val="22"/>
          <w:szCs w:val="22"/>
        </w:rPr>
        <w:t>Representing</w:t>
      </w:r>
      <w:r w:rsidR="00FC4C82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UMS in hearings, meetings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>, mediations, arbitrations,</w:t>
      </w:r>
      <w:r w:rsidR="00FC4C82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and in other forums related to University legal matters as needed</w:t>
      </w:r>
      <w:r w:rsidR="00D57F1C">
        <w:rPr>
          <w:rFonts w:asciiTheme="minorHAnsi" w:hAnsiTheme="minorHAnsi" w:cstheme="minorHAnsi"/>
          <w:color w:val="333333"/>
          <w:sz w:val="22"/>
          <w:szCs w:val="22"/>
        </w:rPr>
        <w:t>; and</w:t>
      </w:r>
    </w:p>
    <w:p w14:paraId="19C70746" w14:textId="04575E9F" w:rsidR="00FC4C82" w:rsidRPr="00A77AAD" w:rsidRDefault="00D57F1C" w:rsidP="00C00B57">
      <w:pPr>
        <w:pStyle w:val="NormalWeb"/>
        <w:numPr>
          <w:ilvl w:val="1"/>
          <w:numId w:val="6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Other general legal advising and counsel as directed.</w:t>
      </w:r>
    </w:p>
    <w:p w14:paraId="036EBDB5" w14:textId="19E6673D" w:rsidR="00C00B57" w:rsidRPr="00A77AAD" w:rsidRDefault="00E0342A" w:rsidP="00C00B57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A77AAD">
        <w:rPr>
          <w:rFonts w:asciiTheme="minorHAnsi" w:hAnsiTheme="minorHAnsi" w:cstheme="minorHAnsi"/>
          <w:color w:val="333333"/>
          <w:sz w:val="22"/>
          <w:szCs w:val="22"/>
        </w:rPr>
        <w:t>Work closely with System Risk Management personnel to develop, coordinate, and implement legal strategies and coordinate legal advice that takes into account System insurance portfolios and mitigation of covered</w:t>
      </w:r>
      <w:r w:rsidR="00177F17">
        <w:rPr>
          <w:rFonts w:asciiTheme="minorHAnsi" w:hAnsiTheme="minorHAnsi" w:cstheme="minorHAnsi"/>
          <w:color w:val="333333"/>
          <w:sz w:val="22"/>
          <w:szCs w:val="22"/>
        </w:rPr>
        <w:t xml:space="preserve"> and 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>non-covered legal risks</w:t>
      </w:r>
      <w:r w:rsidR="00D57F1C">
        <w:rPr>
          <w:rFonts w:asciiTheme="minorHAnsi" w:hAnsiTheme="minorHAnsi" w:cstheme="minorHAnsi"/>
          <w:color w:val="333333"/>
          <w:sz w:val="22"/>
          <w:szCs w:val="22"/>
        </w:rPr>
        <w:t>, including, but not limited to, in the employment law area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A7081D9" w14:textId="7C766342" w:rsidR="00C00B57" w:rsidRPr="00A77AAD" w:rsidRDefault="00E0342A" w:rsidP="00C00B57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Supervise and manage outside counsel in </w:t>
      </w:r>
      <w:r w:rsidR="00AB553E">
        <w:rPr>
          <w:rFonts w:asciiTheme="minorHAnsi" w:hAnsiTheme="minorHAnsi" w:cstheme="minorHAnsi"/>
          <w:color w:val="333333"/>
          <w:sz w:val="22"/>
          <w:szCs w:val="22"/>
        </w:rPr>
        <w:t xml:space="preserve">employment and 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>labor law matters including litigation.</w:t>
      </w:r>
    </w:p>
    <w:p w14:paraId="59324B68" w14:textId="26D5A692" w:rsidR="00C00B57" w:rsidRPr="00A77AAD" w:rsidRDefault="00B51381" w:rsidP="00C00B57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Independently or in conjunction with outside counsel, issue litigation holds, g</w:t>
      </w:r>
      <w:r w:rsidR="004B2E2E">
        <w:rPr>
          <w:rFonts w:asciiTheme="minorHAnsi" w:hAnsiTheme="minorHAnsi" w:cstheme="minorHAnsi"/>
          <w:color w:val="333333"/>
          <w:sz w:val="22"/>
          <w:szCs w:val="22"/>
        </w:rPr>
        <w:t>ather and p</w:t>
      </w:r>
      <w:r w:rsidR="00FC4C82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repare evidence for pleadings, briefs, and other </w:t>
      </w:r>
      <w:r w:rsidR="007A625B">
        <w:rPr>
          <w:rFonts w:asciiTheme="minorHAnsi" w:hAnsiTheme="minorHAnsi" w:cstheme="minorHAnsi"/>
          <w:color w:val="333333"/>
          <w:sz w:val="22"/>
          <w:szCs w:val="22"/>
        </w:rPr>
        <w:t>responses to</w:t>
      </w:r>
      <w:r w:rsidR="00FC4C82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7A625B">
        <w:rPr>
          <w:rFonts w:asciiTheme="minorHAnsi" w:hAnsiTheme="minorHAnsi" w:cstheme="minorHAnsi"/>
          <w:color w:val="333333"/>
          <w:sz w:val="22"/>
          <w:szCs w:val="22"/>
        </w:rPr>
        <w:t>U</w:t>
      </w:r>
      <w:r w:rsidR="00FC4C82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niversity litigation and </w:t>
      </w:r>
      <w:r w:rsidR="00074DA5">
        <w:rPr>
          <w:rFonts w:asciiTheme="minorHAnsi" w:hAnsiTheme="minorHAnsi" w:cstheme="minorHAnsi"/>
          <w:color w:val="333333"/>
          <w:sz w:val="22"/>
          <w:szCs w:val="22"/>
        </w:rPr>
        <w:t>dispute</w:t>
      </w:r>
      <w:r w:rsidR="00FE6FE7">
        <w:rPr>
          <w:rFonts w:asciiTheme="minorHAnsi" w:hAnsiTheme="minorHAnsi" w:cstheme="minorHAnsi"/>
          <w:color w:val="333333"/>
          <w:sz w:val="22"/>
          <w:szCs w:val="22"/>
        </w:rPr>
        <w:t>s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; </w:t>
      </w:r>
      <w:r w:rsidR="00FC4C82" w:rsidRPr="00A77AAD">
        <w:rPr>
          <w:rFonts w:asciiTheme="minorHAnsi" w:hAnsiTheme="minorHAnsi" w:cstheme="minorHAnsi"/>
          <w:color w:val="333333"/>
          <w:sz w:val="22"/>
          <w:szCs w:val="22"/>
        </w:rPr>
        <w:t>represent the System in court proceedings and before administrative hearing bodies.</w:t>
      </w:r>
    </w:p>
    <w:p w14:paraId="7983ABFF" w14:textId="6D63FA57" w:rsidR="00C00B57" w:rsidRPr="00A77AAD" w:rsidRDefault="00FC4C82" w:rsidP="00C00B57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A77AAD">
        <w:rPr>
          <w:rFonts w:asciiTheme="minorHAnsi" w:hAnsiTheme="minorHAnsi" w:cstheme="minorHAnsi"/>
          <w:color w:val="333333"/>
          <w:sz w:val="22"/>
          <w:szCs w:val="22"/>
        </w:rPr>
        <w:t>Conduct research, prepare analysis, and offer legal and policy advice to System</w:t>
      </w:r>
      <w:r w:rsidR="003C356E">
        <w:rPr>
          <w:rFonts w:asciiTheme="minorHAnsi" w:hAnsiTheme="minorHAnsi" w:cstheme="minorHAnsi"/>
          <w:color w:val="333333"/>
          <w:sz w:val="22"/>
          <w:szCs w:val="22"/>
        </w:rPr>
        <w:t xml:space="preserve"> and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FF7185">
        <w:rPr>
          <w:rFonts w:asciiTheme="minorHAnsi" w:hAnsiTheme="minorHAnsi" w:cstheme="minorHAnsi"/>
          <w:color w:val="333333"/>
          <w:sz w:val="22"/>
          <w:szCs w:val="22"/>
        </w:rPr>
        <w:t>universit</w:t>
      </w:r>
      <w:r w:rsidR="003C356E">
        <w:rPr>
          <w:rFonts w:asciiTheme="minorHAnsi" w:hAnsiTheme="minorHAnsi" w:cstheme="minorHAnsi"/>
          <w:color w:val="333333"/>
          <w:sz w:val="22"/>
          <w:szCs w:val="22"/>
        </w:rPr>
        <w:t>y leadership to ensure compliance with all applicable laws and regulations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B6A3FF6" w14:textId="2F87CA80" w:rsidR="00E0342A" w:rsidRPr="00A77AAD" w:rsidRDefault="00FC4C82" w:rsidP="00C00B57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A77AAD">
        <w:rPr>
          <w:rFonts w:asciiTheme="minorHAnsi" w:hAnsiTheme="minorHAnsi" w:cstheme="minorHAnsi"/>
          <w:color w:val="333333"/>
          <w:sz w:val="22"/>
          <w:szCs w:val="22"/>
        </w:rPr>
        <w:lastRenderedPageBreak/>
        <w:t>Maintain current knowledge of</w:t>
      </w:r>
      <w:r w:rsidR="00023BD1" w:rsidRPr="00A77AAD">
        <w:rPr>
          <w:rFonts w:asciiTheme="minorHAnsi" w:hAnsiTheme="minorHAnsi" w:cstheme="minorHAnsi"/>
          <w:color w:val="333333"/>
          <w:sz w:val="22"/>
          <w:szCs w:val="22"/>
        </w:rPr>
        <w:t>, and provide advice on how to implement,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legal and technical developments </w:t>
      </w:r>
      <w:r w:rsidR="00FF7185">
        <w:rPr>
          <w:rFonts w:asciiTheme="minorHAnsi" w:hAnsiTheme="minorHAnsi" w:cstheme="minorHAnsi"/>
          <w:color w:val="333333"/>
          <w:sz w:val="22"/>
          <w:szCs w:val="22"/>
        </w:rPr>
        <w:t>regarding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University administration and higher education</w:t>
      </w:r>
      <w:r w:rsidR="00A77AAD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624909E" w14:textId="51E10DF1" w:rsidR="005936C9" w:rsidRPr="00A77AAD" w:rsidRDefault="00A77AAD" w:rsidP="00A77AAD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Prepare 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>legal documents</w:t>
      </w:r>
      <w:r w:rsidR="00024E29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such as </w:t>
      </w:r>
      <w:r w:rsidR="00FC4C82" w:rsidRPr="00A77AAD">
        <w:rPr>
          <w:rFonts w:asciiTheme="minorHAnsi" w:hAnsiTheme="minorHAnsi" w:cstheme="minorHAnsi"/>
          <w:color w:val="333333"/>
          <w:sz w:val="22"/>
          <w:szCs w:val="22"/>
        </w:rPr>
        <w:t>contracts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>, settlement agreements, termination agreements, collective-b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>argaining agreements, employ</w:t>
      </w:r>
      <w:r w:rsidR="00024E29">
        <w:rPr>
          <w:rFonts w:asciiTheme="minorHAnsi" w:hAnsiTheme="minorHAnsi" w:cstheme="minorHAnsi"/>
          <w:color w:val="333333"/>
          <w:sz w:val="22"/>
          <w:szCs w:val="22"/>
        </w:rPr>
        <w:t>ment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agreements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>, and f</w:t>
      </w:r>
      <w:r w:rsidR="00FC4C82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aculty 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>tenure agreements.</w:t>
      </w:r>
    </w:p>
    <w:p w14:paraId="61C0CF7B" w14:textId="26084B38" w:rsidR="005936C9" w:rsidRPr="00A77AAD" w:rsidRDefault="00A77AAD" w:rsidP="00A77AAD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I</w:t>
      </w:r>
      <w:r w:rsidR="006B4D7D" w:rsidRPr="00A77AAD">
        <w:rPr>
          <w:rFonts w:asciiTheme="minorHAnsi" w:hAnsiTheme="minorHAnsi" w:cstheme="minorHAnsi"/>
          <w:color w:val="333333"/>
          <w:sz w:val="22"/>
          <w:szCs w:val="22"/>
        </w:rPr>
        <w:t>dentify and propose for implementation</w:t>
      </w:r>
      <w:r w:rsidR="00DB04F9">
        <w:rPr>
          <w:rFonts w:asciiTheme="minorHAnsi" w:hAnsiTheme="minorHAnsi" w:cstheme="minorHAnsi"/>
          <w:color w:val="333333"/>
          <w:sz w:val="22"/>
          <w:szCs w:val="22"/>
        </w:rPr>
        <w:t xml:space="preserve"> quality</w:t>
      </w:r>
      <w:r w:rsidR="006B4D7D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improvement</w:t>
      </w:r>
      <w:r w:rsidR="00DB04F9">
        <w:rPr>
          <w:rFonts w:asciiTheme="minorHAnsi" w:hAnsiTheme="minorHAnsi" w:cstheme="minorHAnsi"/>
          <w:color w:val="333333"/>
          <w:sz w:val="22"/>
          <w:szCs w:val="22"/>
        </w:rPr>
        <w:t xml:space="preserve"> interventions for</w:t>
      </w:r>
      <w:r w:rsidR="006B4D7D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DB04F9">
        <w:rPr>
          <w:rFonts w:asciiTheme="minorHAnsi" w:hAnsiTheme="minorHAnsi" w:cstheme="minorHAnsi"/>
          <w:color w:val="333333"/>
          <w:sz w:val="22"/>
          <w:szCs w:val="22"/>
        </w:rPr>
        <w:t>the Office of</w:t>
      </w:r>
      <w:r w:rsidR="006B4D7D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General Counsel</w:t>
      </w:r>
      <w:r w:rsidR="006C3FE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6B4D7D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work flow </w:t>
      </w:r>
      <w:r w:rsidR="006B47C9">
        <w:rPr>
          <w:rFonts w:asciiTheme="minorHAnsi" w:hAnsiTheme="minorHAnsi" w:cstheme="minorHAnsi"/>
          <w:color w:val="333333"/>
          <w:sz w:val="22"/>
          <w:szCs w:val="22"/>
        </w:rPr>
        <w:t xml:space="preserve">in order </w:t>
      </w:r>
      <w:r w:rsidR="006B4D7D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to </w:t>
      </w:r>
      <w:r w:rsidR="00B316D6">
        <w:rPr>
          <w:rFonts w:asciiTheme="minorHAnsi" w:hAnsiTheme="minorHAnsi" w:cstheme="minorHAnsi"/>
          <w:color w:val="333333"/>
          <w:sz w:val="22"/>
          <w:szCs w:val="22"/>
        </w:rPr>
        <w:t xml:space="preserve">continually </w:t>
      </w:r>
      <w:r w:rsidR="006B4D7D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enhance </w:t>
      </w:r>
      <w:r w:rsidR="00B316D6">
        <w:rPr>
          <w:rFonts w:asciiTheme="minorHAnsi" w:hAnsiTheme="minorHAnsi" w:cstheme="minorHAnsi"/>
          <w:color w:val="333333"/>
          <w:sz w:val="22"/>
          <w:szCs w:val="22"/>
        </w:rPr>
        <w:t xml:space="preserve">the delivery of </w:t>
      </w:r>
      <w:r w:rsidR="006B4D7D" w:rsidRPr="00A77AAD">
        <w:rPr>
          <w:rFonts w:asciiTheme="minorHAnsi" w:hAnsiTheme="minorHAnsi" w:cstheme="minorHAnsi"/>
          <w:color w:val="333333"/>
          <w:sz w:val="22"/>
          <w:szCs w:val="22"/>
        </w:rPr>
        <w:t>legal services.</w:t>
      </w:r>
    </w:p>
    <w:p w14:paraId="3CE48CAF" w14:textId="02E4C911" w:rsidR="005936C9" w:rsidRPr="00A77AAD" w:rsidRDefault="00A77AAD" w:rsidP="00A77AAD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Serve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as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the 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office resource on current </w:t>
      </w:r>
      <w:r w:rsidR="00563B0C">
        <w:rPr>
          <w:rFonts w:asciiTheme="minorHAnsi" w:hAnsiTheme="minorHAnsi" w:cstheme="minorHAnsi"/>
          <w:color w:val="333333"/>
          <w:sz w:val="22"/>
          <w:szCs w:val="22"/>
        </w:rPr>
        <w:t>law, regulation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and developments in labor and employment.</w:t>
      </w:r>
    </w:p>
    <w:p w14:paraId="26F5D7BD" w14:textId="088600F2" w:rsidR="005936C9" w:rsidRDefault="00A77AAD" w:rsidP="00A77AAD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Provide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legal expertise and otherwise represent the </w:t>
      </w:r>
      <w:r w:rsidR="001425B6">
        <w:rPr>
          <w:rFonts w:asciiTheme="minorHAnsi" w:hAnsiTheme="minorHAnsi" w:cstheme="minorHAnsi"/>
          <w:color w:val="333333"/>
          <w:sz w:val="22"/>
          <w:szCs w:val="22"/>
        </w:rPr>
        <w:t>O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>ffice</w:t>
      </w:r>
      <w:r w:rsidR="001425B6">
        <w:rPr>
          <w:rFonts w:asciiTheme="minorHAnsi" w:hAnsiTheme="minorHAnsi" w:cstheme="minorHAnsi"/>
          <w:color w:val="333333"/>
          <w:sz w:val="22"/>
          <w:szCs w:val="22"/>
        </w:rPr>
        <w:t xml:space="preserve"> of General Counsel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in meetings with University</w:t>
      </w:r>
      <w:r w:rsidR="00FF7185">
        <w:rPr>
          <w:rFonts w:asciiTheme="minorHAnsi" w:hAnsiTheme="minorHAnsi" w:cstheme="minorHAnsi"/>
          <w:color w:val="333333"/>
          <w:sz w:val="22"/>
          <w:szCs w:val="22"/>
        </w:rPr>
        <w:t>/System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officials and individuals outside of UMS.</w:t>
      </w:r>
    </w:p>
    <w:p w14:paraId="4062300C" w14:textId="14D1FFD1" w:rsidR="005936C9" w:rsidRPr="00A77AAD" w:rsidRDefault="00264FD8" w:rsidP="00A77AAD">
      <w:pPr>
        <w:pStyle w:val="NormalWeb"/>
        <w:numPr>
          <w:ilvl w:val="0"/>
          <w:numId w:val="6"/>
        </w:numPr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O</w:t>
      </w:r>
      <w:r w:rsidR="005936C9" w:rsidRPr="00A77AAD">
        <w:rPr>
          <w:rFonts w:asciiTheme="minorHAnsi" w:hAnsiTheme="minorHAnsi" w:cstheme="minorHAnsi"/>
          <w:color w:val="333333"/>
          <w:sz w:val="22"/>
          <w:szCs w:val="22"/>
        </w:rPr>
        <w:t>ther job-related duties as assigned.</w:t>
      </w:r>
    </w:p>
    <w:p w14:paraId="11DA13A7" w14:textId="77777777" w:rsidR="00A77AAD" w:rsidRPr="00A77AAD" w:rsidRDefault="00A77AAD" w:rsidP="00A77AAD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14:paraId="7630B898" w14:textId="77777777" w:rsidR="00A77AAD" w:rsidRPr="007E719B" w:rsidRDefault="00A77AAD" w:rsidP="00A77AAD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7E719B">
        <w:rPr>
          <w:rFonts w:asciiTheme="minorHAnsi" w:hAnsiTheme="minorHAnsi" w:cstheme="minorHAnsi"/>
          <w:sz w:val="22"/>
          <w:szCs w:val="22"/>
          <w:u w:val="single"/>
        </w:rPr>
        <w:t>Nonessential Duties</w:t>
      </w:r>
    </w:p>
    <w:p w14:paraId="462691A2" w14:textId="77777777" w:rsidR="00A77AAD" w:rsidRDefault="00A77AAD" w:rsidP="00A77AA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50ADDBC7" w14:textId="77777777" w:rsidR="00A77AAD" w:rsidRDefault="00A77AAD" w:rsidP="00A77AA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</w:t>
      </w:r>
    </w:p>
    <w:p w14:paraId="38D538A9" w14:textId="77777777" w:rsidR="00A77AAD" w:rsidRDefault="00A77AAD" w:rsidP="00A77AA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66EB7D4A" w14:textId="77777777" w:rsidR="00A77AAD" w:rsidRPr="007E719B" w:rsidRDefault="00A77AAD" w:rsidP="00A77AAD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7E719B">
        <w:rPr>
          <w:rFonts w:asciiTheme="minorHAnsi" w:hAnsiTheme="minorHAnsi" w:cstheme="minorHAnsi"/>
          <w:sz w:val="22"/>
          <w:szCs w:val="22"/>
          <w:u w:val="single"/>
        </w:rPr>
        <w:t>Supervisory Responsibilities</w:t>
      </w:r>
    </w:p>
    <w:p w14:paraId="73326E2D" w14:textId="77777777" w:rsidR="00A77AAD" w:rsidRDefault="00A77AAD" w:rsidP="00A77AA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70B99C92" w14:textId="5313561F" w:rsidR="007E719B" w:rsidRPr="007E719B" w:rsidRDefault="007E719B" w:rsidP="00A77AA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7E719B">
        <w:rPr>
          <w:rFonts w:asciiTheme="minorHAnsi" w:hAnsiTheme="minorHAnsi" w:cstheme="minorHAnsi"/>
          <w:sz w:val="22"/>
          <w:szCs w:val="22"/>
        </w:rPr>
        <w:t xml:space="preserve">May supervise subordinate attorneys, employees, or interns (student or temporary) in the </w:t>
      </w:r>
      <w:r w:rsidR="00D80AD8">
        <w:rPr>
          <w:rFonts w:asciiTheme="minorHAnsi" w:hAnsiTheme="minorHAnsi" w:cstheme="minorHAnsi"/>
          <w:sz w:val="22"/>
          <w:szCs w:val="22"/>
        </w:rPr>
        <w:t xml:space="preserve">Office of </w:t>
      </w:r>
      <w:r w:rsidRPr="007E719B">
        <w:rPr>
          <w:rFonts w:asciiTheme="minorHAnsi" w:hAnsiTheme="minorHAnsi" w:cstheme="minorHAnsi"/>
          <w:sz w:val="22"/>
          <w:szCs w:val="22"/>
        </w:rPr>
        <w:t xml:space="preserve">General Counsel. </w:t>
      </w:r>
      <w:r w:rsidR="00D80AD8">
        <w:rPr>
          <w:rFonts w:asciiTheme="minorHAnsi" w:hAnsiTheme="minorHAnsi" w:cstheme="minorHAnsi"/>
          <w:sz w:val="22"/>
          <w:szCs w:val="22"/>
        </w:rPr>
        <w:t>D</w:t>
      </w:r>
      <w:r w:rsidRPr="007E719B">
        <w:rPr>
          <w:rFonts w:asciiTheme="minorHAnsi" w:hAnsiTheme="minorHAnsi" w:cstheme="minorHAnsi"/>
          <w:sz w:val="22"/>
          <w:szCs w:val="22"/>
        </w:rPr>
        <w:t>uties may include assigning, monitoring, and checking work; training and disciplining personnel; and evaluating performance.</w:t>
      </w:r>
    </w:p>
    <w:p w14:paraId="1BB8805B" w14:textId="77777777" w:rsidR="007E719B" w:rsidRDefault="007E719B" w:rsidP="00A77AA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1020EB84" w14:textId="77777777" w:rsidR="00A77AAD" w:rsidRPr="007E719B" w:rsidRDefault="00A77AAD" w:rsidP="00A77AAD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7E719B">
        <w:rPr>
          <w:rFonts w:asciiTheme="minorHAnsi" w:hAnsiTheme="minorHAnsi" w:cstheme="minorHAnsi"/>
          <w:sz w:val="22"/>
          <w:szCs w:val="22"/>
          <w:u w:val="single"/>
        </w:rPr>
        <w:t>Reporting Relationship</w:t>
      </w:r>
    </w:p>
    <w:p w14:paraId="59F7F33B" w14:textId="77777777" w:rsidR="00A77AAD" w:rsidRDefault="00A77AAD" w:rsidP="00A77AAD">
      <w:pPr>
        <w:pStyle w:val="ListParagraph"/>
        <w:rPr>
          <w:rFonts w:cstheme="minorHAnsi"/>
        </w:rPr>
      </w:pPr>
    </w:p>
    <w:p w14:paraId="183AF4D4" w14:textId="77777777" w:rsidR="007E719B" w:rsidRDefault="007E719B" w:rsidP="00A77AAD">
      <w:pPr>
        <w:pStyle w:val="ListParagraph"/>
        <w:rPr>
          <w:rFonts w:cstheme="minorHAnsi"/>
        </w:rPr>
      </w:pPr>
      <w:r>
        <w:t>Reports to the Deputy General Counsel and Chief Compliance Officer.</w:t>
      </w:r>
    </w:p>
    <w:p w14:paraId="28CF2D0D" w14:textId="77777777" w:rsidR="007E719B" w:rsidRDefault="007E719B" w:rsidP="00A77AAD">
      <w:pPr>
        <w:pStyle w:val="ListParagraph"/>
        <w:rPr>
          <w:rFonts w:cstheme="minorHAnsi"/>
        </w:rPr>
      </w:pPr>
    </w:p>
    <w:p w14:paraId="2F0022DE" w14:textId="77777777" w:rsidR="00A77AAD" w:rsidRPr="0026295D" w:rsidRDefault="00A77AAD" w:rsidP="00A77AAD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26295D">
        <w:rPr>
          <w:rFonts w:asciiTheme="minorHAnsi" w:hAnsiTheme="minorHAnsi" w:cstheme="minorHAnsi"/>
          <w:sz w:val="22"/>
          <w:szCs w:val="22"/>
          <w:u w:val="single"/>
        </w:rPr>
        <w:t xml:space="preserve">Knowledge, Skills, and </w:t>
      </w:r>
      <w:r w:rsidR="0026295D" w:rsidRPr="0026295D">
        <w:rPr>
          <w:rFonts w:asciiTheme="minorHAnsi" w:hAnsiTheme="minorHAnsi" w:cstheme="minorHAnsi"/>
          <w:sz w:val="22"/>
          <w:szCs w:val="22"/>
          <w:u w:val="single"/>
        </w:rPr>
        <w:t>Abilities</w:t>
      </w:r>
    </w:p>
    <w:p w14:paraId="33465BA4" w14:textId="77777777" w:rsidR="00A77AAD" w:rsidRPr="0026295D" w:rsidRDefault="0026295D" w:rsidP="00A77AAD">
      <w:pPr>
        <w:pStyle w:val="ListParagraph"/>
        <w:rPr>
          <w:rFonts w:cstheme="minorHAnsi"/>
          <w:i/>
        </w:rPr>
      </w:pPr>
      <w:r w:rsidRPr="0026295D">
        <w:rPr>
          <w:rFonts w:cstheme="minorHAnsi"/>
          <w:i/>
        </w:rPr>
        <w:t>Required:</w:t>
      </w:r>
    </w:p>
    <w:p w14:paraId="2D3676E0" w14:textId="77777777" w:rsidR="0026295D" w:rsidRDefault="0026295D" w:rsidP="00A77AAD">
      <w:pPr>
        <w:pStyle w:val="ListParagraph"/>
        <w:rPr>
          <w:rFonts w:cstheme="minorHAnsi"/>
        </w:rPr>
      </w:pPr>
    </w:p>
    <w:p w14:paraId="1D7B301E" w14:textId="193D7C84" w:rsidR="0026295D" w:rsidRDefault="0026295D" w:rsidP="0026295D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Strong organization, communication, writing,</w:t>
      </w:r>
      <w:r w:rsidR="005220D8">
        <w:rPr>
          <w:rFonts w:cstheme="minorHAnsi"/>
        </w:rPr>
        <w:t xml:space="preserve"> leadership</w:t>
      </w:r>
      <w:r>
        <w:rPr>
          <w:rFonts w:cstheme="minorHAnsi"/>
        </w:rPr>
        <w:t xml:space="preserve"> and mediation skills.</w:t>
      </w:r>
    </w:p>
    <w:p w14:paraId="19F19FFB" w14:textId="139DA19D" w:rsidR="0026295D" w:rsidRPr="0026295D" w:rsidRDefault="0026295D" w:rsidP="0026295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6295D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Display strong </w:t>
      </w:r>
      <w:r w:rsidR="005220D8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analytic and </w:t>
      </w:r>
      <w:r>
        <w:rPr>
          <w:rFonts w:asciiTheme="minorHAnsi" w:hAnsiTheme="minorHAnsi" w:cstheme="minorHAnsi"/>
          <w:bCs/>
          <w:color w:val="333333"/>
          <w:sz w:val="22"/>
          <w:szCs w:val="22"/>
        </w:rPr>
        <w:t>strategic thinking</w:t>
      </w:r>
      <w:r w:rsidR="00047C00">
        <w:rPr>
          <w:rFonts w:asciiTheme="minorHAnsi" w:hAnsiTheme="minorHAnsi" w:cstheme="minorHAnsi"/>
          <w:bCs/>
          <w:color w:val="333333"/>
          <w:sz w:val="22"/>
          <w:szCs w:val="22"/>
        </w:rPr>
        <w:t>; for instance,</w:t>
      </w:r>
      <w:r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by f</w:t>
      </w:r>
      <w:r>
        <w:rPr>
          <w:rFonts w:asciiTheme="minorHAnsi" w:hAnsiTheme="minorHAnsi" w:cstheme="minorHAnsi"/>
          <w:color w:val="333333"/>
          <w:sz w:val="22"/>
          <w:szCs w:val="22"/>
        </w:rPr>
        <w:t>ormulating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effective strategies consistent with Universit</w:t>
      </w:r>
      <w:r w:rsidR="007E719B">
        <w:rPr>
          <w:rFonts w:asciiTheme="minorHAnsi" w:hAnsiTheme="minorHAnsi" w:cstheme="minorHAnsi"/>
          <w:color w:val="333333"/>
          <w:sz w:val="22"/>
          <w:szCs w:val="22"/>
        </w:rPr>
        <w:t>y goals and objectives, examining policy issues, developing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strategic plans to accomplish objectives, set</w:t>
      </w:r>
      <w:r w:rsidR="00F61D39">
        <w:rPr>
          <w:rFonts w:asciiTheme="minorHAnsi" w:hAnsiTheme="minorHAnsi" w:cstheme="minorHAnsi"/>
          <w:color w:val="333333"/>
          <w:sz w:val="22"/>
          <w:szCs w:val="22"/>
        </w:rPr>
        <w:t>ting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 priorities and anticipat</w:t>
      </w:r>
      <w:r w:rsidR="00F61D39">
        <w:rPr>
          <w:rFonts w:asciiTheme="minorHAnsi" w:hAnsiTheme="minorHAnsi" w:cstheme="minorHAnsi"/>
          <w:color w:val="333333"/>
          <w:sz w:val="22"/>
          <w:szCs w:val="22"/>
        </w:rPr>
        <w:t xml:space="preserve">ing 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 xml:space="preserve">potential threats </w:t>
      </w:r>
      <w:r w:rsidR="002F43B3">
        <w:rPr>
          <w:rFonts w:asciiTheme="minorHAnsi" w:hAnsiTheme="minorHAnsi" w:cstheme="minorHAnsi"/>
          <w:color w:val="333333"/>
          <w:sz w:val="22"/>
          <w:szCs w:val="22"/>
        </w:rPr>
        <w:t xml:space="preserve">and </w:t>
      </w:r>
      <w:r w:rsidRPr="00A77AAD">
        <w:rPr>
          <w:rFonts w:asciiTheme="minorHAnsi" w:hAnsiTheme="minorHAnsi" w:cstheme="minorHAnsi"/>
          <w:color w:val="333333"/>
          <w:sz w:val="22"/>
          <w:szCs w:val="22"/>
        </w:rPr>
        <w:t>opportunities.</w:t>
      </w:r>
    </w:p>
    <w:p w14:paraId="659312AF" w14:textId="5D3419C5" w:rsidR="0026295D" w:rsidRPr="0026295D" w:rsidRDefault="000C7D4C" w:rsidP="0026295D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  <w:color w:val="333333"/>
        </w:rPr>
        <w:t>Ability to e</w:t>
      </w:r>
      <w:r w:rsidR="0026295D" w:rsidRPr="00A77AAD">
        <w:rPr>
          <w:rFonts w:cstheme="minorHAnsi"/>
          <w:color w:val="333333"/>
        </w:rPr>
        <w:t xml:space="preserve">stablish and maintain effective </w:t>
      </w:r>
      <w:r w:rsidR="00E62EB3">
        <w:rPr>
          <w:rFonts w:cstheme="minorHAnsi"/>
          <w:color w:val="333333"/>
        </w:rPr>
        <w:t>professional</w:t>
      </w:r>
      <w:r w:rsidR="0026295D" w:rsidRPr="00A77AAD">
        <w:rPr>
          <w:rFonts w:cstheme="minorHAnsi"/>
          <w:color w:val="333333"/>
        </w:rPr>
        <w:t xml:space="preserve"> relation</w:t>
      </w:r>
      <w:r w:rsidR="00E62EB3">
        <w:rPr>
          <w:rFonts w:cstheme="minorHAnsi"/>
          <w:color w:val="333333"/>
        </w:rPr>
        <w:t>ships</w:t>
      </w:r>
      <w:r w:rsidR="0026295D" w:rsidRPr="00A77AAD">
        <w:rPr>
          <w:rFonts w:cstheme="minorHAnsi"/>
          <w:color w:val="333333"/>
        </w:rPr>
        <w:t xml:space="preserve"> with faculty, staff, students, University officials, union representatives, and the general public. </w:t>
      </w:r>
    </w:p>
    <w:p w14:paraId="5640ADBF" w14:textId="763BCFA7" w:rsidR="0026295D" w:rsidRDefault="0026295D" w:rsidP="0026295D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A77AAD">
        <w:rPr>
          <w:rFonts w:cstheme="minorHAnsi"/>
          <w:color w:val="333333"/>
        </w:rPr>
        <w:t xml:space="preserve">Ability to </w:t>
      </w:r>
      <w:r w:rsidR="0071654B">
        <w:rPr>
          <w:rFonts w:cstheme="minorHAnsi"/>
          <w:color w:val="333333"/>
        </w:rPr>
        <w:t xml:space="preserve">anticipate and </w:t>
      </w:r>
      <w:r w:rsidRPr="00A77AAD">
        <w:rPr>
          <w:rFonts w:cstheme="minorHAnsi"/>
          <w:color w:val="333333"/>
        </w:rPr>
        <w:t>identify the need for action and to plan, supervise, and execute appropriate assignments with minimal guidance or supervision</w:t>
      </w:r>
      <w:r>
        <w:rPr>
          <w:rFonts w:cstheme="minorHAnsi"/>
          <w:color w:val="333333"/>
        </w:rPr>
        <w:t>.</w:t>
      </w:r>
    </w:p>
    <w:p w14:paraId="0A5660FD" w14:textId="77777777" w:rsidR="0026295D" w:rsidRDefault="0026295D" w:rsidP="0026295D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Ability to exercise independent legal judgment and act in accordance with professional ethical standards.</w:t>
      </w:r>
    </w:p>
    <w:p w14:paraId="2ED39344" w14:textId="77777777" w:rsidR="0026295D" w:rsidRDefault="0026295D" w:rsidP="0026295D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Ability to act independently in the absence of the Deputy General Counsel and Chief Compliance Officer.</w:t>
      </w:r>
    </w:p>
    <w:p w14:paraId="05C56AE1" w14:textId="77777777" w:rsidR="00A77AAD" w:rsidRPr="0026295D" w:rsidRDefault="00A77AAD" w:rsidP="00A77AAD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26295D">
        <w:rPr>
          <w:rFonts w:asciiTheme="minorHAnsi" w:hAnsiTheme="minorHAnsi" w:cstheme="minorHAnsi"/>
          <w:sz w:val="22"/>
          <w:szCs w:val="22"/>
          <w:u w:val="single"/>
        </w:rPr>
        <w:t>Qualifications</w:t>
      </w:r>
    </w:p>
    <w:p w14:paraId="01A1DEAF" w14:textId="77777777" w:rsidR="0026295D" w:rsidRPr="0026295D" w:rsidRDefault="0026295D" w:rsidP="0026295D">
      <w:pPr>
        <w:pStyle w:val="ListParagraph"/>
        <w:rPr>
          <w:rFonts w:cstheme="minorHAnsi"/>
          <w:i/>
        </w:rPr>
      </w:pPr>
      <w:r>
        <w:rPr>
          <w:rFonts w:cstheme="minorHAnsi"/>
          <w:i/>
        </w:rPr>
        <w:t>Required:</w:t>
      </w:r>
    </w:p>
    <w:p w14:paraId="39E881BE" w14:textId="77777777" w:rsidR="0026295D" w:rsidRDefault="0026295D" w:rsidP="0026295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lastRenderedPageBreak/>
        <w:t>J.D. or LLB Required. License to practice in Maine or licensure within 1 year.</w:t>
      </w:r>
    </w:p>
    <w:p w14:paraId="27C62946" w14:textId="7DAF68A8" w:rsidR="00927D1C" w:rsidRDefault="003C356E" w:rsidP="007E719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C37C7">
        <w:rPr>
          <w:rFonts w:asciiTheme="minorHAnsi" w:hAnsiTheme="minorHAnsi" w:cstheme="minorHAnsi"/>
          <w:color w:val="333333"/>
          <w:sz w:val="22"/>
          <w:szCs w:val="22"/>
        </w:rPr>
        <w:t>At least six</w:t>
      </w:r>
      <w:r w:rsidR="0026295D" w:rsidRPr="00FC37C7">
        <w:rPr>
          <w:rFonts w:asciiTheme="minorHAnsi" w:hAnsiTheme="minorHAnsi" w:cstheme="minorHAnsi"/>
          <w:color w:val="333333"/>
          <w:sz w:val="22"/>
          <w:szCs w:val="22"/>
        </w:rPr>
        <w:t xml:space="preserve"> years</w:t>
      </w:r>
      <w:r w:rsidR="0026295D" w:rsidRPr="0026295D">
        <w:rPr>
          <w:rFonts w:asciiTheme="minorHAnsi" w:hAnsiTheme="minorHAnsi" w:cstheme="minorHAnsi"/>
          <w:color w:val="333333"/>
          <w:sz w:val="22"/>
          <w:szCs w:val="22"/>
        </w:rPr>
        <w:t xml:space="preserve"> of post-J.D. legal experience </w:t>
      </w:r>
      <w:r w:rsidR="00594AE7">
        <w:rPr>
          <w:rFonts w:asciiTheme="minorHAnsi" w:hAnsiTheme="minorHAnsi" w:cstheme="minorHAnsi"/>
          <w:color w:val="333333"/>
          <w:sz w:val="22"/>
          <w:szCs w:val="22"/>
        </w:rPr>
        <w:t>in</w:t>
      </w:r>
      <w:r w:rsidR="0026295D" w:rsidRPr="0026295D">
        <w:rPr>
          <w:rFonts w:asciiTheme="minorHAnsi" w:hAnsiTheme="minorHAnsi" w:cstheme="minorHAnsi"/>
          <w:color w:val="333333"/>
          <w:sz w:val="22"/>
          <w:szCs w:val="22"/>
        </w:rPr>
        <w:t xml:space="preserve"> labor and employment law.</w:t>
      </w:r>
    </w:p>
    <w:p w14:paraId="25A445AA" w14:textId="2A114714" w:rsidR="003C356E" w:rsidRDefault="003C356E" w:rsidP="00300A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5992C0" w14:textId="155C5844" w:rsidR="003C356E" w:rsidRDefault="003C356E" w:rsidP="00300A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00A68">
        <w:rPr>
          <w:rFonts w:asciiTheme="minorHAnsi" w:hAnsiTheme="minorHAnsi" w:cstheme="minorHAnsi"/>
          <w:i/>
          <w:sz w:val="22"/>
          <w:szCs w:val="22"/>
        </w:rPr>
        <w:t>Preferred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2B2F68F" w14:textId="76A974DB" w:rsidR="003C356E" w:rsidRDefault="003C356E" w:rsidP="00300A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DF4FC81" w14:textId="281342AF" w:rsidR="003C356E" w:rsidRPr="00300A68" w:rsidRDefault="003C356E" w:rsidP="00300A6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working as a labor and employment lawyer with a public entity or higher education institution.</w:t>
      </w:r>
    </w:p>
    <w:sectPr w:rsidR="003C356E" w:rsidRPr="00300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D2"/>
    <w:multiLevelType w:val="hybridMultilevel"/>
    <w:tmpl w:val="18B425AA"/>
    <w:lvl w:ilvl="0" w:tplc="B3649D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3333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30AA"/>
    <w:multiLevelType w:val="hybridMultilevel"/>
    <w:tmpl w:val="4116593E"/>
    <w:lvl w:ilvl="0" w:tplc="93D61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764DA"/>
    <w:multiLevelType w:val="hybridMultilevel"/>
    <w:tmpl w:val="AD92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51634"/>
    <w:multiLevelType w:val="hybridMultilevel"/>
    <w:tmpl w:val="8D603340"/>
    <w:lvl w:ilvl="0" w:tplc="DB7EF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646AE"/>
    <w:multiLevelType w:val="hybridMultilevel"/>
    <w:tmpl w:val="48DCA106"/>
    <w:lvl w:ilvl="0" w:tplc="3D26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DF6B0A"/>
    <w:multiLevelType w:val="hybridMultilevel"/>
    <w:tmpl w:val="DE12F5A6"/>
    <w:lvl w:ilvl="0" w:tplc="72C8C3A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5E7080"/>
    <w:multiLevelType w:val="hybridMultilevel"/>
    <w:tmpl w:val="6F9E9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BA2D0D"/>
    <w:multiLevelType w:val="multilevel"/>
    <w:tmpl w:val="FF7C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20AB7"/>
    <w:multiLevelType w:val="multilevel"/>
    <w:tmpl w:val="7C14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C81D35"/>
    <w:multiLevelType w:val="multilevel"/>
    <w:tmpl w:val="8330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C9"/>
    <w:rsid w:val="00021006"/>
    <w:rsid w:val="00023BD1"/>
    <w:rsid w:val="00024E29"/>
    <w:rsid w:val="00047C00"/>
    <w:rsid w:val="00074DA5"/>
    <w:rsid w:val="000C2616"/>
    <w:rsid w:val="000C7D4C"/>
    <w:rsid w:val="001425B6"/>
    <w:rsid w:val="00177F17"/>
    <w:rsid w:val="001A7715"/>
    <w:rsid w:val="001C28F1"/>
    <w:rsid w:val="001F564F"/>
    <w:rsid w:val="0026295D"/>
    <w:rsid w:val="00264FD8"/>
    <w:rsid w:val="002F43B3"/>
    <w:rsid w:val="00300A68"/>
    <w:rsid w:val="003C356E"/>
    <w:rsid w:val="00431567"/>
    <w:rsid w:val="00477B63"/>
    <w:rsid w:val="004A20F6"/>
    <w:rsid w:val="004B2E2E"/>
    <w:rsid w:val="004D1EC9"/>
    <w:rsid w:val="005220D8"/>
    <w:rsid w:val="00563B0C"/>
    <w:rsid w:val="005745A2"/>
    <w:rsid w:val="0058548F"/>
    <w:rsid w:val="005936C9"/>
    <w:rsid w:val="00594AE7"/>
    <w:rsid w:val="005D276E"/>
    <w:rsid w:val="005D54E1"/>
    <w:rsid w:val="00651BB3"/>
    <w:rsid w:val="006B47C9"/>
    <w:rsid w:val="006B4D7D"/>
    <w:rsid w:val="006C3FE3"/>
    <w:rsid w:val="0071654B"/>
    <w:rsid w:val="00733467"/>
    <w:rsid w:val="00775A3B"/>
    <w:rsid w:val="00792487"/>
    <w:rsid w:val="007A625B"/>
    <w:rsid w:val="007E719B"/>
    <w:rsid w:val="00820C1E"/>
    <w:rsid w:val="008474EF"/>
    <w:rsid w:val="0089259C"/>
    <w:rsid w:val="008964B0"/>
    <w:rsid w:val="008E61E5"/>
    <w:rsid w:val="00927D1C"/>
    <w:rsid w:val="00941928"/>
    <w:rsid w:val="00A77AAD"/>
    <w:rsid w:val="00AB553E"/>
    <w:rsid w:val="00AB6CE8"/>
    <w:rsid w:val="00B316D6"/>
    <w:rsid w:val="00B51381"/>
    <w:rsid w:val="00B80EE8"/>
    <w:rsid w:val="00C00B57"/>
    <w:rsid w:val="00C0528A"/>
    <w:rsid w:val="00C10B4C"/>
    <w:rsid w:val="00C376D1"/>
    <w:rsid w:val="00C721F4"/>
    <w:rsid w:val="00CE3EB2"/>
    <w:rsid w:val="00D43922"/>
    <w:rsid w:val="00D57F1C"/>
    <w:rsid w:val="00D760AF"/>
    <w:rsid w:val="00D77EE1"/>
    <w:rsid w:val="00D80AD8"/>
    <w:rsid w:val="00DA0834"/>
    <w:rsid w:val="00DB04F9"/>
    <w:rsid w:val="00DB69BF"/>
    <w:rsid w:val="00E0342A"/>
    <w:rsid w:val="00E4636B"/>
    <w:rsid w:val="00E62EB3"/>
    <w:rsid w:val="00E77AEF"/>
    <w:rsid w:val="00EC2E96"/>
    <w:rsid w:val="00F2594E"/>
    <w:rsid w:val="00F61D39"/>
    <w:rsid w:val="00F74E5A"/>
    <w:rsid w:val="00FC37C7"/>
    <w:rsid w:val="00FC4C82"/>
    <w:rsid w:val="00FE6FE7"/>
    <w:rsid w:val="00FE7EEE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B03B"/>
  <w15:chartTrackingRefBased/>
  <w15:docId w15:val="{A7625FA4-D8F9-4ADD-B588-6F2944C8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36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36C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 Mlynarchek</dc:creator>
  <cp:keywords/>
  <dc:description/>
  <cp:lastModifiedBy>Roxanne M McGreevy</cp:lastModifiedBy>
  <cp:revision>2</cp:revision>
  <dcterms:created xsi:type="dcterms:W3CDTF">2020-11-30T22:02:00Z</dcterms:created>
  <dcterms:modified xsi:type="dcterms:W3CDTF">2020-11-30T22:02:00Z</dcterms:modified>
</cp:coreProperties>
</file>