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9029E6" w:rsidTr="001743B2">
        <w:trPr>
          <w:cantSplit/>
        </w:trPr>
        <w:tc>
          <w:tcPr>
            <w:tcW w:w="9576" w:type="dxa"/>
          </w:tcPr>
          <w:p w:rsidR="009029E6" w:rsidRDefault="009029E6" w:rsidP="005E30F4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 xml:space="preserve">Strategic </w:t>
            </w:r>
            <w:r w:rsidR="007C134F">
              <w:rPr>
                <w:sz w:val="28"/>
              </w:rPr>
              <w:t xml:space="preserve">Sourcing </w:t>
            </w:r>
            <w:r w:rsidR="00001075">
              <w:rPr>
                <w:sz w:val="28"/>
              </w:rPr>
              <w:t>Manager</w:t>
            </w:r>
          </w:p>
        </w:tc>
      </w:tr>
    </w:tbl>
    <w:p w:rsidR="009029E6" w:rsidRDefault="009029E6" w:rsidP="009029E6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591"/>
        <w:gridCol w:w="6759"/>
      </w:tblGrid>
      <w:tr w:rsidR="009029E6" w:rsidRPr="002750F4" w:rsidTr="001743B2">
        <w:trPr>
          <w:trHeight w:hRule="exact" w:val="504"/>
        </w:trPr>
        <w:tc>
          <w:tcPr>
            <w:tcW w:w="2628" w:type="dxa"/>
            <w:vAlign w:val="center"/>
          </w:tcPr>
          <w:p w:rsidR="009029E6" w:rsidRPr="002750F4" w:rsidRDefault="00C1790F" w:rsidP="009029E6">
            <w:pPr>
              <w:rPr>
                <w:b/>
                <w:bCs/>
              </w:rPr>
            </w:pPr>
            <w:r>
              <w:rPr>
                <w:b/>
                <w:bCs/>
              </w:rPr>
              <w:t>Position Number:</w:t>
            </w:r>
          </w:p>
        </w:tc>
        <w:tc>
          <w:tcPr>
            <w:tcW w:w="6948" w:type="dxa"/>
            <w:vAlign w:val="center"/>
          </w:tcPr>
          <w:p w:rsidR="009029E6" w:rsidRPr="002750F4" w:rsidRDefault="00CD42DC" w:rsidP="009029E6">
            <w:r>
              <w:t>00022190</w:t>
            </w:r>
            <w:bookmarkStart w:id="0" w:name="_GoBack"/>
            <w:bookmarkEnd w:id="0"/>
          </w:p>
        </w:tc>
      </w:tr>
      <w:tr w:rsidR="009029E6" w:rsidRPr="002750F4" w:rsidTr="001743B2">
        <w:trPr>
          <w:trHeight w:hRule="exact" w:val="504"/>
        </w:trPr>
        <w:tc>
          <w:tcPr>
            <w:tcW w:w="2628" w:type="dxa"/>
            <w:vAlign w:val="center"/>
          </w:tcPr>
          <w:p w:rsidR="009029E6" w:rsidRPr="002750F4" w:rsidRDefault="009029E6" w:rsidP="009029E6">
            <w:pPr>
              <w:rPr>
                <w:b/>
                <w:bCs/>
              </w:rPr>
            </w:pPr>
            <w:r w:rsidRPr="002750F4">
              <w:rPr>
                <w:b/>
                <w:bCs/>
              </w:rPr>
              <w:t>Department:</w:t>
            </w:r>
          </w:p>
        </w:tc>
        <w:tc>
          <w:tcPr>
            <w:tcW w:w="6948" w:type="dxa"/>
            <w:vAlign w:val="center"/>
          </w:tcPr>
          <w:p w:rsidR="009029E6" w:rsidRPr="002750F4" w:rsidRDefault="009029E6" w:rsidP="009029E6">
            <w:r w:rsidRPr="002750F4">
              <w:t>Strategic Procurement Services</w:t>
            </w:r>
          </w:p>
        </w:tc>
      </w:tr>
      <w:tr w:rsidR="009029E6" w:rsidRPr="002750F4" w:rsidTr="001743B2">
        <w:trPr>
          <w:trHeight w:hRule="exact" w:val="504"/>
        </w:trPr>
        <w:tc>
          <w:tcPr>
            <w:tcW w:w="2628" w:type="dxa"/>
            <w:vAlign w:val="center"/>
          </w:tcPr>
          <w:p w:rsidR="009029E6" w:rsidRPr="002750F4" w:rsidRDefault="009029E6" w:rsidP="009029E6">
            <w:pPr>
              <w:rPr>
                <w:b/>
                <w:bCs/>
              </w:rPr>
            </w:pPr>
            <w:r w:rsidRPr="002750F4">
              <w:rPr>
                <w:b/>
                <w:bCs/>
              </w:rPr>
              <w:t>Campus:</w:t>
            </w:r>
          </w:p>
        </w:tc>
        <w:tc>
          <w:tcPr>
            <w:tcW w:w="6948" w:type="dxa"/>
            <w:vAlign w:val="center"/>
          </w:tcPr>
          <w:p w:rsidR="009029E6" w:rsidRPr="002750F4" w:rsidRDefault="009029E6" w:rsidP="009029E6">
            <w:r w:rsidRPr="002750F4">
              <w:t>SWS</w:t>
            </w:r>
          </w:p>
        </w:tc>
      </w:tr>
      <w:tr w:rsidR="009029E6" w:rsidRPr="002750F4" w:rsidTr="001743B2">
        <w:trPr>
          <w:trHeight w:hRule="exact" w:val="504"/>
        </w:trPr>
        <w:tc>
          <w:tcPr>
            <w:tcW w:w="2628" w:type="dxa"/>
            <w:vAlign w:val="center"/>
          </w:tcPr>
          <w:p w:rsidR="009029E6" w:rsidRPr="002750F4" w:rsidRDefault="009029E6" w:rsidP="009029E6">
            <w:pPr>
              <w:rPr>
                <w:b/>
                <w:bCs/>
              </w:rPr>
            </w:pPr>
            <w:r w:rsidRPr="002750F4">
              <w:rPr>
                <w:b/>
                <w:bCs/>
              </w:rPr>
              <w:t>Date of Issue:</w:t>
            </w:r>
          </w:p>
        </w:tc>
        <w:tc>
          <w:tcPr>
            <w:tcW w:w="6948" w:type="dxa"/>
            <w:vAlign w:val="center"/>
          </w:tcPr>
          <w:p w:rsidR="009029E6" w:rsidRPr="002750F4" w:rsidRDefault="00C1790F" w:rsidP="009029E6">
            <w:r>
              <w:t>August 2013</w:t>
            </w:r>
          </w:p>
        </w:tc>
      </w:tr>
    </w:tbl>
    <w:p w:rsidR="009029E6" w:rsidRPr="002750F4" w:rsidRDefault="009029E6" w:rsidP="009029E6"/>
    <w:tbl>
      <w:tblPr>
        <w:tblW w:w="0" w:type="auto"/>
        <w:tblLook w:val="0000" w:firstRow="0" w:lastRow="0" w:firstColumn="0" w:lastColumn="0" w:noHBand="0" w:noVBand="0"/>
      </w:tblPr>
      <w:tblGrid>
        <w:gridCol w:w="633"/>
        <w:gridCol w:w="8727"/>
      </w:tblGrid>
      <w:tr w:rsidR="009029E6" w:rsidRPr="002750F4" w:rsidTr="002750F4">
        <w:tc>
          <w:tcPr>
            <w:tcW w:w="641" w:type="dxa"/>
          </w:tcPr>
          <w:p w:rsidR="009029E6" w:rsidRPr="002750F4" w:rsidRDefault="009029E6" w:rsidP="001743B2">
            <w:pPr>
              <w:rPr>
                <w:b/>
                <w:bCs/>
              </w:rPr>
            </w:pPr>
            <w:r w:rsidRPr="002750F4">
              <w:rPr>
                <w:b/>
                <w:bCs/>
              </w:rPr>
              <w:t>I.</w:t>
            </w:r>
          </w:p>
        </w:tc>
        <w:tc>
          <w:tcPr>
            <w:tcW w:w="8917" w:type="dxa"/>
            <w:shd w:val="clear" w:color="auto" w:fill="auto"/>
          </w:tcPr>
          <w:p w:rsidR="009029E6" w:rsidRPr="002750F4" w:rsidRDefault="009029E6" w:rsidP="001743B2">
            <w:pPr>
              <w:pStyle w:val="Heading1"/>
            </w:pPr>
            <w:r w:rsidRPr="002750F4">
              <w:t>Primary Purpose of Position</w:t>
            </w:r>
          </w:p>
        </w:tc>
      </w:tr>
      <w:tr w:rsidR="009029E6" w:rsidRPr="002750F4" w:rsidTr="002750F4">
        <w:tc>
          <w:tcPr>
            <w:tcW w:w="641" w:type="dxa"/>
          </w:tcPr>
          <w:p w:rsidR="009029E6" w:rsidRPr="002750F4" w:rsidRDefault="009029E6" w:rsidP="001743B2">
            <w:pPr>
              <w:rPr>
                <w:b/>
                <w:bCs/>
              </w:rPr>
            </w:pPr>
          </w:p>
        </w:tc>
        <w:tc>
          <w:tcPr>
            <w:tcW w:w="8917" w:type="dxa"/>
            <w:shd w:val="clear" w:color="auto" w:fill="auto"/>
          </w:tcPr>
          <w:p w:rsidR="00590DC3" w:rsidRPr="002750F4" w:rsidRDefault="00590DC3" w:rsidP="00590DC3"/>
          <w:p w:rsidR="006E1DDC" w:rsidRDefault="00590DC3" w:rsidP="007236AF">
            <w:r w:rsidRPr="002750F4">
              <w:t xml:space="preserve">The Strategic Sourcing </w:t>
            </w:r>
            <w:r w:rsidR="00001075" w:rsidRPr="002750F4">
              <w:t>Manager</w:t>
            </w:r>
            <w:r w:rsidRPr="002750F4">
              <w:t xml:space="preserve"> reports directly to the </w:t>
            </w:r>
            <w:r w:rsidR="00001075" w:rsidRPr="002750F4">
              <w:t xml:space="preserve">Strategic Sourcing Director </w:t>
            </w:r>
            <w:r w:rsidRPr="002750F4">
              <w:t>and</w:t>
            </w:r>
            <w:r w:rsidR="001164A6" w:rsidRPr="002750F4">
              <w:t xml:space="preserve"> is responsible for</w:t>
            </w:r>
            <w:r w:rsidR="00AC3B0F" w:rsidRPr="002750F4">
              <w:t xml:space="preserve"> managing Sourcing activities</w:t>
            </w:r>
            <w:r w:rsidR="00001075" w:rsidRPr="002750F4">
              <w:t xml:space="preserve"> </w:t>
            </w:r>
            <w:r w:rsidR="001164A6" w:rsidRPr="002750F4">
              <w:t>of goods and services in complian</w:t>
            </w:r>
            <w:r w:rsidR="00001075" w:rsidRPr="002750F4">
              <w:t>ce with public competitive bid g</w:t>
            </w:r>
            <w:r w:rsidR="001164A6" w:rsidRPr="002750F4">
              <w:t xml:space="preserve">uidelines. </w:t>
            </w:r>
            <w:r w:rsidR="00AC3B0F" w:rsidRPr="002750F4">
              <w:t xml:space="preserve"> </w:t>
            </w:r>
            <w:r w:rsidR="00C20AEB">
              <w:t xml:space="preserve">This position’s </w:t>
            </w:r>
            <w:r w:rsidR="00083655">
              <w:t xml:space="preserve">responsibilities </w:t>
            </w:r>
            <w:r w:rsidR="00083655" w:rsidRPr="002750F4">
              <w:t>encompass</w:t>
            </w:r>
            <w:r w:rsidR="007236AF" w:rsidRPr="002750F4">
              <w:t xml:space="preserve"> approximate</w:t>
            </w:r>
            <w:r w:rsidR="00C20AEB">
              <w:t>ly</w:t>
            </w:r>
            <w:r w:rsidR="007236AF" w:rsidRPr="002750F4">
              <w:t xml:space="preserve"> $25</w:t>
            </w:r>
            <w:r w:rsidR="005E30F4">
              <w:t xml:space="preserve"> </w:t>
            </w:r>
            <w:r w:rsidR="007236AF" w:rsidRPr="002750F4">
              <w:t>million in addressable annual spend</w:t>
            </w:r>
            <w:r w:rsidR="00083655">
              <w:t xml:space="preserve"> with the portfolio prim</w:t>
            </w:r>
            <w:r w:rsidR="00906E4B">
              <w:t xml:space="preserve">arily consisting of high risk-low spend </w:t>
            </w:r>
            <w:r w:rsidR="00083655">
              <w:t>and</w:t>
            </w:r>
            <w:r w:rsidR="00906E4B">
              <w:t>/or low risk-high spend</w:t>
            </w:r>
            <w:r w:rsidR="00083655">
              <w:t>. The Sourcing Manager also is responsible for Supplier relationship Management (SRM) for the University’s Leverage and Bottleneck (</w:t>
            </w:r>
            <w:r w:rsidR="00C42F82">
              <w:t>high risk-low spend, high spend-low risk</w:t>
            </w:r>
            <w:r w:rsidR="00083655">
              <w:t>) Suppliers. This position is responsible for Sourcing</w:t>
            </w:r>
            <w:r w:rsidR="006E1DDC">
              <w:t xml:space="preserve"> goods and </w:t>
            </w:r>
            <w:r w:rsidR="00083655">
              <w:t xml:space="preserve">services </w:t>
            </w:r>
            <w:r w:rsidR="006E1DDC">
              <w:t>us</w:t>
            </w:r>
            <w:r w:rsidR="00083655">
              <w:t>ed in the</w:t>
            </w:r>
            <w:r w:rsidR="003A092A">
              <w:t xml:space="preserve"> </w:t>
            </w:r>
            <w:r w:rsidR="005E30F4">
              <w:t>administration and support of University</w:t>
            </w:r>
            <w:r w:rsidR="00083655">
              <w:t>. Categories include</w:t>
            </w:r>
            <w:r w:rsidR="005E30F4">
              <w:t xml:space="preserve"> but </w:t>
            </w:r>
            <w:r w:rsidR="00083655">
              <w:t xml:space="preserve">are </w:t>
            </w:r>
            <w:r w:rsidR="005E30F4">
              <w:t xml:space="preserve">not </w:t>
            </w:r>
            <w:r w:rsidR="006E1DDC">
              <w:t xml:space="preserve">limited to: </w:t>
            </w:r>
          </w:p>
          <w:p w:rsidR="00083655" w:rsidRDefault="00083655" w:rsidP="007236AF"/>
          <w:p w:rsidR="00083655" w:rsidRDefault="00083655" w:rsidP="00083655">
            <w:r>
              <w:t>F</w:t>
            </w:r>
            <w:r w:rsidRPr="0010232A">
              <w:t xml:space="preserve">acilities, transportation services, energy, professional services, </w:t>
            </w:r>
            <w:r>
              <w:t xml:space="preserve">office supplies, travel, furniture, </w:t>
            </w:r>
            <w:r w:rsidRPr="0010232A">
              <w:t xml:space="preserve">insurance, banking </w:t>
            </w:r>
            <w:r>
              <w:t>services, IT hardware/software, print, food</w:t>
            </w:r>
            <w:r w:rsidRPr="0010232A">
              <w:t>, scientific equipment and su</w:t>
            </w:r>
            <w:r w:rsidR="00C42F82">
              <w:t xml:space="preserve">pplies, </w:t>
            </w:r>
            <w:r w:rsidR="00D87ACC">
              <w:t>marketing and other</w:t>
            </w:r>
            <w:r w:rsidRPr="0010232A">
              <w:t xml:space="preserve"> categories</w:t>
            </w:r>
            <w:r w:rsidR="00D87ACC">
              <w:t xml:space="preserve"> as appropriate to the position</w:t>
            </w:r>
            <w:r w:rsidRPr="0010232A">
              <w:t>.</w:t>
            </w:r>
            <w:r>
              <w:t xml:space="preserve">   </w:t>
            </w:r>
          </w:p>
          <w:p w:rsidR="00083655" w:rsidRDefault="00083655" w:rsidP="00083655">
            <w:pPr>
              <w:pStyle w:val="ListParagraph"/>
              <w:ind w:left="1440"/>
            </w:pPr>
          </w:p>
          <w:p w:rsidR="006E1DDC" w:rsidRDefault="006E1DDC" w:rsidP="007236AF"/>
          <w:p w:rsidR="00AC3B0F" w:rsidRPr="002750F4" w:rsidRDefault="00AC3B0F" w:rsidP="00BE0889"/>
          <w:p w:rsidR="00BE0889" w:rsidRPr="002750F4" w:rsidRDefault="001164A6" w:rsidP="00BE0889">
            <w:r w:rsidRPr="002750F4">
              <w:t xml:space="preserve"> </w:t>
            </w:r>
            <w:r w:rsidR="00001075" w:rsidRPr="002750F4">
              <w:t xml:space="preserve">Specific </w:t>
            </w:r>
            <w:r w:rsidRPr="002750F4">
              <w:t xml:space="preserve">responsibilities </w:t>
            </w:r>
            <w:r w:rsidR="00001075" w:rsidRPr="002750F4">
              <w:t xml:space="preserve">may </w:t>
            </w:r>
            <w:r w:rsidRPr="002750F4">
              <w:t>include</w:t>
            </w:r>
            <w:r w:rsidR="00BE0889" w:rsidRPr="002750F4">
              <w:t>:</w:t>
            </w:r>
            <w:r w:rsidRPr="002750F4">
              <w:t xml:space="preserve"> </w:t>
            </w:r>
          </w:p>
          <w:p w:rsidR="00BE0889" w:rsidRPr="002750F4" w:rsidRDefault="00BE0889" w:rsidP="00ED7ED1">
            <w:pPr>
              <w:pStyle w:val="ListParagraph"/>
              <w:numPr>
                <w:ilvl w:val="0"/>
                <w:numId w:val="11"/>
              </w:numPr>
            </w:pPr>
            <w:r w:rsidRPr="002750F4">
              <w:t xml:space="preserve">identifying </w:t>
            </w:r>
            <w:r w:rsidR="007C70FF" w:rsidRPr="002750F4">
              <w:t>S</w:t>
            </w:r>
            <w:r w:rsidRPr="002750F4">
              <w:t xml:space="preserve">ourcing </w:t>
            </w:r>
            <w:r w:rsidR="00194EC6" w:rsidRPr="002750F4">
              <w:t>initiatives</w:t>
            </w:r>
            <w:r w:rsidRPr="002750F4">
              <w:t xml:space="preserve"> through historical</w:t>
            </w:r>
            <w:r w:rsidR="00001075" w:rsidRPr="002750F4">
              <w:t xml:space="preserve"> spend </w:t>
            </w:r>
            <w:r w:rsidRPr="002750F4">
              <w:t>data</w:t>
            </w:r>
            <w:r w:rsidR="00001075" w:rsidRPr="002750F4">
              <w:t xml:space="preserve"> </w:t>
            </w:r>
            <w:r w:rsidRPr="002750F4">
              <w:t xml:space="preserve">analysis, </w:t>
            </w:r>
            <w:r w:rsidR="00E257DE" w:rsidRPr="002750F4">
              <w:t>industry</w:t>
            </w:r>
            <w:r w:rsidRPr="002750F4">
              <w:t xml:space="preserve"> opportunities, </w:t>
            </w:r>
            <w:r w:rsidR="00194EC6" w:rsidRPr="002750F4">
              <w:t xml:space="preserve">and </w:t>
            </w:r>
            <w:r w:rsidRPr="002750F4">
              <w:t xml:space="preserve">campus and </w:t>
            </w:r>
            <w:r w:rsidR="002D700A" w:rsidRPr="002750F4">
              <w:t xml:space="preserve"> </w:t>
            </w:r>
            <w:r w:rsidR="005E30F4">
              <w:t>system office</w:t>
            </w:r>
            <w:r w:rsidR="006E1DDC">
              <w:t xml:space="preserve"> </w:t>
            </w:r>
            <w:r w:rsidRPr="002750F4">
              <w:t xml:space="preserve">requests; </w:t>
            </w:r>
          </w:p>
          <w:p w:rsidR="002750F4" w:rsidRDefault="002750F4" w:rsidP="00ED7ED1">
            <w:pPr>
              <w:pStyle w:val="ListParagraph"/>
              <w:numPr>
                <w:ilvl w:val="0"/>
                <w:numId w:val="11"/>
              </w:numPr>
            </w:pPr>
            <w:r w:rsidRPr="002750F4">
              <w:t xml:space="preserve">collaborating with subject matter experts from various University campuses and </w:t>
            </w:r>
            <w:r w:rsidR="005E30F4">
              <w:t>system office</w:t>
            </w:r>
            <w:r w:rsidR="003A092A">
              <w:t xml:space="preserve"> managers</w:t>
            </w:r>
            <w:r w:rsidR="005E30F4">
              <w:t xml:space="preserve"> and administrators</w:t>
            </w:r>
            <w:r w:rsidR="003A092A">
              <w:t xml:space="preserve"> </w:t>
            </w:r>
            <w:r w:rsidRPr="002750F4">
              <w:t>to develop Sourcing requirements and supplier evaluation criteria;</w:t>
            </w:r>
          </w:p>
          <w:p w:rsidR="00BE0889" w:rsidRPr="002750F4" w:rsidRDefault="00BE0889" w:rsidP="00ED7ED1">
            <w:pPr>
              <w:pStyle w:val="ListParagraph"/>
              <w:numPr>
                <w:ilvl w:val="0"/>
                <w:numId w:val="11"/>
              </w:numPr>
            </w:pPr>
            <w:r w:rsidRPr="002750F4">
              <w:t xml:space="preserve">facilitating the </w:t>
            </w:r>
            <w:r w:rsidR="007C70FF" w:rsidRPr="002750F4">
              <w:t xml:space="preserve">procurement process including </w:t>
            </w:r>
            <w:r w:rsidRPr="002750F4">
              <w:t>Request for Proposal</w:t>
            </w:r>
            <w:r w:rsidR="007C70FF" w:rsidRPr="002750F4">
              <w:t>s</w:t>
            </w:r>
            <w:r w:rsidR="00E257DE" w:rsidRPr="002750F4">
              <w:t xml:space="preserve"> (RFP</w:t>
            </w:r>
            <w:r w:rsidR="007C70FF" w:rsidRPr="002750F4">
              <w:t>s</w:t>
            </w:r>
            <w:r w:rsidR="00E257DE" w:rsidRPr="002750F4">
              <w:t>)</w:t>
            </w:r>
            <w:r w:rsidR="007C70FF" w:rsidRPr="002750F4">
              <w:t xml:space="preserve"> for</w:t>
            </w:r>
            <w:r w:rsidR="00E257DE" w:rsidRPr="002750F4">
              <w:t xml:space="preserve"> </w:t>
            </w:r>
            <w:r w:rsidRPr="002750F4">
              <w:t>goods and services</w:t>
            </w:r>
            <w:r w:rsidR="00B23CFD" w:rsidRPr="002750F4">
              <w:t xml:space="preserve"> in compliance with State and University </w:t>
            </w:r>
            <w:r w:rsidR="007C70FF" w:rsidRPr="002750F4">
              <w:t>procurement</w:t>
            </w:r>
            <w:r w:rsidR="00B23CFD" w:rsidRPr="002750F4">
              <w:t xml:space="preserve"> guidelines</w:t>
            </w:r>
            <w:r w:rsidRPr="002750F4">
              <w:t xml:space="preserve">; </w:t>
            </w:r>
          </w:p>
          <w:p w:rsidR="00BE0889" w:rsidRPr="002750F4" w:rsidRDefault="00627E89" w:rsidP="00ED7ED1">
            <w:pPr>
              <w:pStyle w:val="ListParagraph"/>
              <w:numPr>
                <w:ilvl w:val="0"/>
                <w:numId w:val="11"/>
              </w:numPr>
            </w:pPr>
            <w:r w:rsidRPr="002750F4">
              <w:t xml:space="preserve">managing </w:t>
            </w:r>
            <w:r w:rsidR="004E7F80" w:rsidRPr="002750F4">
              <w:t xml:space="preserve">the </w:t>
            </w:r>
            <w:r w:rsidR="00BE0889" w:rsidRPr="002750F4">
              <w:t>contract</w:t>
            </w:r>
            <w:r w:rsidR="004E7F80" w:rsidRPr="002750F4">
              <w:t>ing process</w:t>
            </w:r>
            <w:r w:rsidR="0096727F" w:rsidRPr="002750F4">
              <w:t xml:space="preserve"> </w:t>
            </w:r>
            <w:r w:rsidR="00BE0889" w:rsidRPr="002750F4">
              <w:t>with providers of  goods and services</w:t>
            </w:r>
            <w:r w:rsidR="00ED7ED1" w:rsidRPr="002750F4">
              <w:t>;</w:t>
            </w:r>
            <w:r w:rsidR="00BE0889" w:rsidRPr="002750F4">
              <w:t xml:space="preserve"> </w:t>
            </w:r>
            <w:r w:rsidRPr="002750F4">
              <w:t xml:space="preserve">and </w:t>
            </w:r>
          </w:p>
          <w:p w:rsidR="00BE0889" w:rsidRPr="002750F4" w:rsidRDefault="002A6207" w:rsidP="00ED7ED1">
            <w:pPr>
              <w:pStyle w:val="ListParagraph"/>
              <w:numPr>
                <w:ilvl w:val="0"/>
                <w:numId w:val="11"/>
              </w:numPr>
            </w:pPr>
            <w:proofErr w:type="gramStart"/>
            <w:r w:rsidRPr="002750F4">
              <w:t>providing</w:t>
            </w:r>
            <w:proofErr w:type="gramEnd"/>
            <w:r w:rsidRPr="002750F4">
              <w:t xml:space="preserve"> </w:t>
            </w:r>
            <w:r w:rsidR="00627E89" w:rsidRPr="002750F4">
              <w:t xml:space="preserve">on-going oversight of </w:t>
            </w:r>
            <w:r w:rsidR="00083655">
              <w:t>Supplier Relationship Management (SRM) for assigned vendors.</w:t>
            </w:r>
          </w:p>
          <w:p w:rsidR="00BE0889" w:rsidRPr="002750F4" w:rsidRDefault="00BE0889" w:rsidP="00BE0889"/>
          <w:p w:rsidR="00590DC3" w:rsidRPr="002750F4" w:rsidRDefault="001164A6" w:rsidP="00083655">
            <w:r w:rsidRPr="002750F4">
              <w:t xml:space="preserve">Success in this position involves </w:t>
            </w:r>
            <w:r w:rsidR="00627E89" w:rsidRPr="002750F4">
              <w:t xml:space="preserve">facilitating collaborative stakeholder relationships; developing and </w:t>
            </w:r>
            <w:r w:rsidR="00E219FF" w:rsidRPr="002750F4">
              <w:t>maintaining</w:t>
            </w:r>
            <w:r w:rsidR="00E257DE" w:rsidRPr="002750F4">
              <w:t xml:space="preserve"> subject matter expertise i</w:t>
            </w:r>
            <w:r w:rsidR="00083655">
              <w:t>n key commodity and service categories</w:t>
            </w:r>
            <w:r w:rsidR="00E257DE" w:rsidRPr="002750F4">
              <w:t>; executing and manag</w:t>
            </w:r>
            <w:r w:rsidR="00083655">
              <w:t xml:space="preserve">ing competitive enterprise-wide </w:t>
            </w:r>
            <w:r w:rsidR="00E257DE" w:rsidRPr="002750F4">
              <w:t xml:space="preserve">contracts and supplier relationships; and </w:t>
            </w:r>
            <w:r w:rsidR="00BE5BCF" w:rsidRPr="002750F4">
              <w:t xml:space="preserve">meeting or exceeding </w:t>
            </w:r>
            <w:r w:rsidR="00E257DE" w:rsidRPr="002750F4">
              <w:t>annual S</w:t>
            </w:r>
            <w:r w:rsidR="00BE5BCF" w:rsidRPr="002750F4">
              <w:t>ourcing goals</w:t>
            </w:r>
            <w:r w:rsidR="00417A07" w:rsidRPr="002750F4">
              <w:t xml:space="preserve"> and savings </w:t>
            </w:r>
            <w:r w:rsidR="00083655">
              <w:t>targets</w:t>
            </w:r>
            <w:r w:rsidR="00E257DE" w:rsidRPr="002750F4">
              <w:t>.</w:t>
            </w:r>
          </w:p>
        </w:tc>
      </w:tr>
      <w:tr w:rsidR="009029E6" w:rsidRPr="002750F4" w:rsidTr="002750F4">
        <w:tc>
          <w:tcPr>
            <w:tcW w:w="641" w:type="dxa"/>
          </w:tcPr>
          <w:p w:rsidR="009029E6" w:rsidRPr="002750F4" w:rsidRDefault="009029E6" w:rsidP="001743B2">
            <w:pPr>
              <w:rPr>
                <w:b/>
                <w:bCs/>
              </w:rPr>
            </w:pPr>
          </w:p>
        </w:tc>
        <w:tc>
          <w:tcPr>
            <w:tcW w:w="8917" w:type="dxa"/>
          </w:tcPr>
          <w:p w:rsidR="009029E6" w:rsidRPr="002750F4" w:rsidRDefault="009029E6" w:rsidP="001743B2"/>
        </w:tc>
      </w:tr>
    </w:tbl>
    <w:p w:rsidR="000540DB" w:rsidRDefault="000540DB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5"/>
        <w:gridCol w:w="504"/>
        <w:gridCol w:w="8221"/>
      </w:tblGrid>
      <w:tr w:rsidR="009029E6" w:rsidRPr="002750F4" w:rsidTr="00D3742E">
        <w:tc>
          <w:tcPr>
            <w:tcW w:w="641" w:type="dxa"/>
          </w:tcPr>
          <w:p w:rsidR="009029E6" w:rsidRPr="002750F4" w:rsidRDefault="009029E6" w:rsidP="001743B2">
            <w:pPr>
              <w:rPr>
                <w:b/>
                <w:bCs/>
              </w:rPr>
            </w:pPr>
            <w:r w:rsidRPr="002750F4">
              <w:rPr>
                <w:b/>
                <w:bCs/>
              </w:rPr>
              <w:lastRenderedPageBreak/>
              <w:t>II.</w:t>
            </w:r>
          </w:p>
        </w:tc>
        <w:tc>
          <w:tcPr>
            <w:tcW w:w="8917" w:type="dxa"/>
            <w:gridSpan w:val="2"/>
          </w:tcPr>
          <w:p w:rsidR="009029E6" w:rsidRPr="002750F4" w:rsidRDefault="009029E6" w:rsidP="001743B2">
            <w:pPr>
              <w:pStyle w:val="Heading1"/>
            </w:pPr>
            <w:r w:rsidRPr="002750F4">
              <w:t>Essential Duties</w:t>
            </w:r>
          </w:p>
        </w:tc>
      </w:tr>
      <w:tr w:rsidR="009029E6" w:rsidRPr="002750F4" w:rsidTr="00D3742E">
        <w:trPr>
          <w:trHeight w:val="369"/>
        </w:trPr>
        <w:tc>
          <w:tcPr>
            <w:tcW w:w="641" w:type="dxa"/>
          </w:tcPr>
          <w:p w:rsidR="009029E6" w:rsidRPr="002750F4" w:rsidRDefault="009029E6" w:rsidP="001743B2">
            <w:pPr>
              <w:rPr>
                <w:b/>
                <w:bCs/>
              </w:rPr>
            </w:pPr>
          </w:p>
        </w:tc>
        <w:tc>
          <w:tcPr>
            <w:tcW w:w="8917" w:type="dxa"/>
            <w:gridSpan w:val="2"/>
          </w:tcPr>
          <w:p w:rsidR="009029E6" w:rsidRPr="002750F4" w:rsidRDefault="009029E6" w:rsidP="001743B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029E6" w:rsidRPr="002750F4" w:rsidTr="00D3742E">
        <w:trPr>
          <w:cantSplit/>
        </w:trPr>
        <w:tc>
          <w:tcPr>
            <w:tcW w:w="641" w:type="dxa"/>
          </w:tcPr>
          <w:p w:rsidR="009029E6" w:rsidRPr="002750F4" w:rsidRDefault="009029E6" w:rsidP="001743B2">
            <w:pPr>
              <w:spacing w:after="120"/>
              <w:rPr>
                <w:b/>
                <w:bCs/>
              </w:rPr>
            </w:pPr>
          </w:p>
        </w:tc>
        <w:tc>
          <w:tcPr>
            <w:tcW w:w="507" w:type="dxa"/>
          </w:tcPr>
          <w:p w:rsidR="009029E6" w:rsidRPr="002750F4" w:rsidRDefault="009029E6" w:rsidP="001743B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2750F4">
              <w:t>1.</w:t>
            </w:r>
          </w:p>
        </w:tc>
        <w:tc>
          <w:tcPr>
            <w:tcW w:w="8410" w:type="dxa"/>
          </w:tcPr>
          <w:p w:rsidR="006D2808" w:rsidRPr="002750F4" w:rsidRDefault="00E219FF" w:rsidP="006D2808">
            <w:pPr>
              <w:autoSpaceDE w:val="0"/>
              <w:autoSpaceDN w:val="0"/>
              <w:adjustRightInd w:val="0"/>
            </w:pPr>
            <w:r w:rsidRPr="002750F4">
              <w:t xml:space="preserve">Implements </w:t>
            </w:r>
            <w:r w:rsidR="00C92778" w:rsidRPr="002750F4">
              <w:t>Strategic Sourcing</w:t>
            </w:r>
            <w:r w:rsidR="00860849" w:rsidRPr="002750F4">
              <w:t xml:space="preserve"> Methodology</w:t>
            </w:r>
            <w:r w:rsidR="00083655">
              <w:t>/SOP</w:t>
            </w:r>
          </w:p>
          <w:p w:rsidR="007C70FF" w:rsidRPr="002750F4" w:rsidRDefault="00E219FF" w:rsidP="008608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2750F4">
              <w:t xml:space="preserve">Executes </w:t>
            </w:r>
            <w:r w:rsidR="007C70FF" w:rsidRPr="002750F4">
              <w:t>s</w:t>
            </w:r>
            <w:r w:rsidRPr="002750F4">
              <w:t xml:space="preserve">ourcing initiatives following the prescribed </w:t>
            </w:r>
            <w:r w:rsidR="00860849" w:rsidRPr="002750F4">
              <w:t xml:space="preserve">framework </w:t>
            </w:r>
            <w:r w:rsidR="00C92778" w:rsidRPr="002750F4">
              <w:t>for conducting Strategic Sourcing activities</w:t>
            </w:r>
            <w:r w:rsidR="007236AF" w:rsidRPr="002750F4">
              <w:t xml:space="preserve">. </w:t>
            </w:r>
            <w:r w:rsidR="007C70FF" w:rsidRPr="002750F4">
              <w:t xml:space="preserve"> </w:t>
            </w:r>
          </w:p>
          <w:p w:rsidR="00C92778" w:rsidRPr="002750F4" w:rsidRDefault="007C70FF" w:rsidP="008608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2750F4">
              <w:t>Calculates</w:t>
            </w:r>
            <w:r w:rsidR="00B23CFD" w:rsidRPr="002750F4">
              <w:t xml:space="preserve"> base-line spend and savings for </w:t>
            </w:r>
            <w:r w:rsidRPr="002750F4">
              <w:t xml:space="preserve">category </w:t>
            </w:r>
            <w:r w:rsidR="00B23CFD" w:rsidRPr="002750F4">
              <w:t>Sourcing initiatives.</w:t>
            </w:r>
          </w:p>
          <w:p w:rsidR="00696D72" w:rsidRPr="002750F4" w:rsidRDefault="00B53CF0" w:rsidP="008608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2750F4">
              <w:t>Communicates, educates and obtains support for Strategic Sourcing methodology</w:t>
            </w:r>
            <w:r w:rsidR="00D231BE" w:rsidRPr="002750F4">
              <w:t xml:space="preserve"> and process</w:t>
            </w:r>
            <w:r w:rsidRPr="002750F4">
              <w:t xml:space="preserve"> from key stakeholders throughout the University system.</w:t>
            </w:r>
          </w:p>
          <w:p w:rsidR="0093491C" w:rsidRPr="002750F4" w:rsidRDefault="0093491C" w:rsidP="0086084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2750F4">
              <w:t>Insures that Strategic Sourcing</w:t>
            </w:r>
            <w:r w:rsidR="00C61A94">
              <w:t xml:space="preserve"> activity </w:t>
            </w:r>
            <w:r w:rsidRPr="002750F4">
              <w:t>complies with all appropriate State and University mandates and guidelines for a competitive public procurement process.</w:t>
            </w:r>
          </w:p>
          <w:p w:rsidR="009029E6" w:rsidRPr="002750F4" w:rsidRDefault="009029E6" w:rsidP="007C70FF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8F2340" w:rsidRPr="002750F4" w:rsidTr="00D3742E">
        <w:trPr>
          <w:cantSplit/>
        </w:trPr>
        <w:tc>
          <w:tcPr>
            <w:tcW w:w="641" w:type="dxa"/>
          </w:tcPr>
          <w:p w:rsidR="008F2340" w:rsidRPr="002750F4" w:rsidRDefault="008F2340" w:rsidP="001743B2">
            <w:pPr>
              <w:spacing w:after="120"/>
              <w:rPr>
                <w:b/>
                <w:bCs/>
              </w:rPr>
            </w:pPr>
          </w:p>
        </w:tc>
        <w:tc>
          <w:tcPr>
            <w:tcW w:w="507" w:type="dxa"/>
          </w:tcPr>
          <w:p w:rsidR="008F2340" w:rsidRPr="002750F4" w:rsidRDefault="008F2340" w:rsidP="001743B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2750F4">
              <w:t>2.</w:t>
            </w:r>
          </w:p>
        </w:tc>
        <w:tc>
          <w:tcPr>
            <w:tcW w:w="8410" w:type="dxa"/>
          </w:tcPr>
          <w:p w:rsidR="008F2340" w:rsidRPr="002750F4" w:rsidRDefault="008F2340" w:rsidP="008F2340">
            <w:pPr>
              <w:autoSpaceDE w:val="0"/>
              <w:autoSpaceDN w:val="0"/>
              <w:adjustRightInd w:val="0"/>
            </w:pPr>
            <w:r w:rsidRPr="002750F4">
              <w:t>Engages and Collaborates with University System S</w:t>
            </w:r>
            <w:r w:rsidR="009A7325" w:rsidRPr="002750F4">
              <w:t>ubject-matter-experts</w:t>
            </w:r>
          </w:p>
          <w:p w:rsidR="008F2340" w:rsidRPr="002750F4" w:rsidRDefault="00E219FF" w:rsidP="008F2340">
            <w:pPr>
              <w:pStyle w:val="ListParagraph"/>
              <w:numPr>
                <w:ilvl w:val="0"/>
                <w:numId w:val="5"/>
              </w:numPr>
            </w:pPr>
            <w:r w:rsidRPr="002750F4">
              <w:t xml:space="preserve">Facilitates collaboration with </w:t>
            </w:r>
            <w:r w:rsidR="008F2340" w:rsidRPr="002750F4">
              <w:t>multi-campus advisory group</w:t>
            </w:r>
            <w:r w:rsidRPr="002750F4">
              <w:t>(</w:t>
            </w:r>
            <w:r w:rsidR="008F2340" w:rsidRPr="002750F4">
              <w:t>s</w:t>
            </w:r>
            <w:r w:rsidRPr="002750F4">
              <w:t>)</w:t>
            </w:r>
            <w:r w:rsidR="004D0FB3" w:rsidRPr="002750F4">
              <w:t xml:space="preserve">, </w:t>
            </w:r>
            <w:r w:rsidR="005E30F4">
              <w:t>system office and campus managers and administrators</w:t>
            </w:r>
            <w:r w:rsidRPr="002750F4">
              <w:t xml:space="preserve"> for </w:t>
            </w:r>
            <w:r w:rsidR="008F2340" w:rsidRPr="002750F4">
              <w:t xml:space="preserve">developing requirements, evaluating competitive bid proposals, selecting vendors and suppliers, and </w:t>
            </w:r>
            <w:r w:rsidR="00D57C4D" w:rsidRPr="002750F4">
              <w:t xml:space="preserve">understanding </w:t>
            </w:r>
            <w:r w:rsidR="00417A07" w:rsidRPr="002750F4">
              <w:t xml:space="preserve">category </w:t>
            </w:r>
            <w:r w:rsidR="008F2340" w:rsidRPr="002750F4">
              <w:t>developments and opportunities.</w:t>
            </w:r>
          </w:p>
          <w:p w:rsidR="008F2340" w:rsidRPr="002750F4" w:rsidRDefault="008F2340" w:rsidP="008F23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2750F4">
              <w:t>Establishes communication mechanisms, in collaboration with Procurement Services, for keeping key stakeholder groups informed and engaged in Strategic Sourcing activity</w:t>
            </w:r>
            <w:r w:rsidR="00E219FF" w:rsidRPr="002750F4">
              <w:t xml:space="preserve"> for the assigned Sourcing </w:t>
            </w:r>
            <w:r w:rsidR="00906E4B">
              <w:t>projects/vendors</w:t>
            </w:r>
            <w:r w:rsidRPr="002750F4">
              <w:t>.</w:t>
            </w:r>
          </w:p>
          <w:p w:rsidR="00696D72" w:rsidRPr="002750F4" w:rsidRDefault="00696D72" w:rsidP="00696D72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6D2808" w:rsidRPr="002750F4" w:rsidTr="00546873">
        <w:trPr>
          <w:cantSplit/>
        </w:trPr>
        <w:tc>
          <w:tcPr>
            <w:tcW w:w="641" w:type="dxa"/>
          </w:tcPr>
          <w:p w:rsidR="006D2808" w:rsidRPr="002750F4" w:rsidRDefault="006D2808" w:rsidP="001743B2">
            <w:pPr>
              <w:spacing w:after="120"/>
              <w:rPr>
                <w:b/>
                <w:bCs/>
              </w:rPr>
            </w:pPr>
          </w:p>
        </w:tc>
        <w:tc>
          <w:tcPr>
            <w:tcW w:w="507" w:type="dxa"/>
          </w:tcPr>
          <w:p w:rsidR="006D2808" w:rsidRPr="002750F4" w:rsidRDefault="008F2340" w:rsidP="008F2340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2750F4">
              <w:t>3</w:t>
            </w:r>
            <w:r w:rsidR="006D2808" w:rsidRPr="002750F4">
              <w:t>.</w:t>
            </w:r>
          </w:p>
        </w:tc>
        <w:tc>
          <w:tcPr>
            <w:tcW w:w="8410" w:type="dxa"/>
          </w:tcPr>
          <w:p w:rsidR="006D2808" w:rsidRPr="002750F4" w:rsidRDefault="006D2808" w:rsidP="006D2808">
            <w:pPr>
              <w:autoSpaceDE w:val="0"/>
              <w:autoSpaceDN w:val="0"/>
              <w:adjustRightInd w:val="0"/>
            </w:pPr>
            <w:r w:rsidRPr="002750F4">
              <w:t>Identif</w:t>
            </w:r>
            <w:r w:rsidR="00C92778" w:rsidRPr="002750F4">
              <w:t>ies</w:t>
            </w:r>
            <w:r w:rsidRPr="002750F4">
              <w:t xml:space="preserve"> </w:t>
            </w:r>
            <w:r w:rsidR="00C92778" w:rsidRPr="002750F4">
              <w:t>Strategic Sourcing</w:t>
            </w:r>
            <w:r w:rsidR="00B53CF0" w:rsidRPr="002750F4">
              <w:t xml:space="preserve"> </w:t>
            </w:r>
            <w:r w:rsidR="0080077F" w:rsidRPr="002750F4">
              <w:t>Opportunities</w:t>
            </w:r>
          </w:p>
          <w:p w:rsidR="00C92778" w:rsidRPr="002750F4" w:rsidRDefault="007236AF" w:rsidP="00C927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2750F4">
              <w:t xml:space="preserve">Works with Strategic Procurement </w:t>
            </w:r>
            <w:r w:rsidR="002852DC" w:rsidRPr="002750F4">
              <w:t>staff to</w:t>
            </w:r>
            <w:r w:rsidRPr="002750F4">
              <w:t xml:space="preserve"> document </w:t>
            </w:r>
            <w:r w:rsidR="002852DC" w:rsidRPr="002750F4">
              <w:t>category</w:t>
            </w:r>
            <w:r w:rsidR="0093491C" w:rsidRPr="002750F4">
              <w:t xml:space="preserve"> </w:t>
            </w:r>
            <w:r w:rsidR="00D57C4D" w:rsidRPr="002750F4">
              <w:t>historic spend</w:t>
            </w:r>
            <w:r w:rsidR="00C92778" w:rsidRPr="002750F4">
              <w:t xml:space="preserve"> and </w:t>
            </w:r>
            <w:r w:rsidRPr="002750F4">
              <w:t xml:space="preserve">the </w:t>
            </w:r>
            <w:r w:rsidR="00C92778" w:rsidRPr="002750F4">
              <w:t>total cost of ownership</w:t>
            </w:r>
            <w:r w:rsidR="00D57C4D" w:rsidRPr="002750F4">
              <w:t xml:space="preserve"> (TCO)</w:t>
            </w:r>
            <w:r w:rsidR="00C92778" w:rsidRPr="002750F4">
              <w:t xml:space="preserve"> </w:t>
            </w:r>
            <w:r w:rsidR="00906E4B">
              <w:t>for key</w:t>
            </w:r>
            <w:r w:rsidRPr="002750F4">
              <w:t xml:space="preserve"> products and services </w:t>
            </w:r>
            <w:r w:rsidR="002852DC" w:rsidRPr="002750F4">
              <w:t>and to</w:t>
            </w:r>
            <w:r w:rsidR="00C92778" w:rsidRPr="002750F4">
              <w:t xml:space="preserve"> identify opportunities</w:t>
            </w:r>
            <w:r w:rsidR="0093491C" w:rsidRPr="002750F4">
              <w:t xml:space="preserve"> w</w:t>
            </w:r>
            <w:r w:rsidR="00906E4B">
              <w:t>ithin Sourcing</w:t>
            </w:r>
            <w:r w:rsidR="0093491C" w:rsidRPr="002750F4">
              <w:t xml:space="preserve">. </w:t>
            </w:r>
          </w:p>
          <w:p w:rsidR="00C92778" w:rsidRPr="002750F4" w:rsidRDefault="00C92778" w:rsidP="00C927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2750F4">
              <w:t xml:space="preserve">Works with multi-campus based category advisory groups to understand demand, </w:t>
            </w:r>
            <w:r w:rsidR="00417A07" w:rsidRPr="002750F4">
              <w:t>supplier</w:t>
            </w:r>
            <w:r w:rsidRPr="002750F4">
              <w:t xml:space="preserve"> trends</w:t>
            </w:r>
            <w:r w:rsidR="00B53CF0" w:rsidRPr="002750F4">
              <w:t xml:space="preserve"> and user requirements for </w:t>
            </w:r>
            <w:r w:rsidRPr="002750F4">
              <w:t>potential Sourcing opportunities</w:t>
            </w:r>
            <w:r w:rsidR="0093491C" w:rsidRPr="002750F4">
              <w:t xml:space="preserve"> within assigned Sourcing </w:t>
            </w:r>
            <w:r w:rsidR="00125282" w:rsidRPr="002750F4">
              <w:t>category</w:t>
            </w:r>
            <w:r w:rsidR="00417A07" w:rsidRPr="002750F4">
              <w:t>.</w:t>
            </w:r>
          </w:p>
          <w:p w:rsidR="00C92778" w:rsidRPr="002750F4" w:rsidRDefault="00C92778" w:rsidP="00C927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2750F4">
              <w:t>Develops a multi-year sourcing project portfolio</w:t>
            </w:r>
            <w:r w:rsidR="00906E4B">
              <w:t xml:space="preserve"> (Pipeline)</w:t>
            </w:r>
            <w:r w:rsidRPr="002750F4">
              <w:t xml:space="preserve"> </w:t>
            </w:r>
            <w:r w:rsidR="0093491C" w:rsidRPr="002750F4">
              <w:t xml:space="preserve">for assigned category </w:t>
            </w:r>
            <w:r w:rsidR="00B53CF0" w:rsidRPr="002750F4">
              <w:t xml:space="preserve">with estimated costs and potential savings </w:t>
            </w:r>
            <w:r w:rsidRPr="002750F4">
              <w:t>based on identified opportunities, expected demand, and contract renewal timing</w:t>
            </w:r>
            <w:r w:rsidR="00417A07" w:rsidRPr="002750F4">
              <w:t>,</w:t>
            </w:r>
          </w:p>
          <w:p w:rsidR="00C92778" w:rsidRPr="002750F4" w:rsidRDefault="00C92778" w:rsidP="006D2808">
            <w:pPr>
              <w:autoSpaceDE w:val="0"/>
              <w:autoSpaceDN w:val="0"/>
              <w:adjustRightInd w:val="0"/>
            </w:pPr>
          </w:p>
        </w:tc>
      </w:tr>
      <w:tr w:rsidR="00D231BE" w:rsidRPr="002750F4" w:rsidTr="00546873">
        <w:trPr>
          <w:cantSplit/>
        </w:trPr>
        <w:tc>
          <w:tcPr>
            <w:tcW w:w="641" w:type="dxa"/>
          </w:tcPr>
          <w:p w:rsidR="00D231BE" w:rsidRPr="002750F4" w:rsidRDefault="00D231BE" w:rsidP="001743B2">
            <w:pPr>
              <w:spacing w:after="120"/>
              <w:rPr>
                <w:b/>
                <w:bCs/>
              </w:rPr>
            </w:pPr>
          </w:p>
        </w:tc>
        <w:tc>
          <w:tcPr>
            <w:tcW w:w="507" w:type="dxa"/>
          </w:tcPr>
          <w:p w:rsidR="00D231BE" w:rsidRPr="002750F4" w:rsidRDefault="008D4A93" w:rsidP="008D4A93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2750F4">
              <w:t>4</w:t>
            </w:r>
            <w:r w:rsidR="009A7325" w:rsidRPr="002750F4">
              <w:t>.</w:t>
            </w:r>
          </w:p>
        </w:tc>
        <w:tc>
          <w:tcPr>
            <w:tcW w:w="8410" w:type="dxa"/>
          </w:tcPr>
          <w:p w:rsidR="00D231BE" w:rsidRPr="002750F4" w:rsidRDefault="00D231BE" w:rsidP="006D2808">
            <w:pPr>
              <w:autoSpaceDE w:val="0"/>
              <w:autoSpaceDN w:val="0"/>
              <w:adjustRightInd w:val="0"/>
            </w:pPr>
            <w:r w:rsidRPr="002750F4">
              <w:t>Manages Strategic Sourcing Initiatives</w:t>
            </w:r>
          </w:p>
          <w:p w:rsidR="0080077F" w:rsidRPr="002750F4" w:rsidRDefault="002E1CF2" w:rsidP="00800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750F4">
              <w:t>Oversees S</w:t>
            </w:r>
            <w:r w:rsidR="00D231BE" w:rsidRPr="002750F4">
              <w:t xml:space="preserve">ourcing initiatives to </w:t>
            </w:r>
            <w:r w:rsidR="0080077F" w:rsidRPr="002750F4">
              <w:t>e</w:t>
            </w:r>
            <w:r w:rsidR="00D231BE" w:rsidRPr="002750F4">
              <w:t xml:space="preserve">nsure that </w:t>
            </w:r>
            <w:r w:rsidR="0080077F" w:rsidRPr="002750F4">
              <w:t xml:space="preserve">goods and </w:t>
            </w:r>
            <w:r w:rsidR="008D4A93" w:rsidRPr="002750F4">
              <w:t>services are</w:t>
            </w:r>
            <w:r w:rsidR="00D231BE" w:rsidRPr="002750F4">
              <w:t xml:space="preserve"> obtained at the lowest cost consistent with </w:t>
            </w:r>
            <w:r w:rsidR="008D4A93" w:rsidRPr="002750F4">
              <w:t xml:space="preserve">University </w:t>
            </w:r>
            <w:r w:rsidR="0080077F" w:rsidRPr="002750F4">
              <w:t>requirements for</w:t>
            </w:r>
            <w:r w:rsidR="00D231BE" w:rsidRPr="002750F4">
              <w:t xml:space="preserve"> quality, performance, service and availability</w:t>
            </w:r>
            <w:r w:rsidR="00906E4B">
              <w:t xml:space="preserve"> (Best Value)</w:t>
            </w:r>
            <w:r w:rsidR="008D4A93" w:rsidRPr="002750F4">
              <w:t>.</w:t>
            </w:r>
            <w:r w:rsidR="00D231BE" w:rsidRPr="002750F4">
              <w:t xml:space="preserve"> </w:t>
            </w:r>
          </w:p>
          <w:p w:rsidR="0080077F" w:rsidRPr="002750F4" w:rsidRDefault="0080077F" w:rsidP="00800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750F4">
              <w:t>Promotes and maintains a public competitive procurement practice in compliance with all State, legislative, and University mandates and guidelines</w:t>
            </w:r>
            <w:r w:rsidR="008D4A93" w:rsidRPr="002750F4">
              <w:t>.</w:t>
            </w:r>
          </w:p>
          <w:p w:rsidR="009A7325" w:rsidRPr="002750F4" w:rsidRDefault="009A7325" w:rsidP="00800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750F4">
              <w:t>Engages multi-campus based category advisory groups in drafting requirements and evaluating bid responses as appropriate.</w:t>
            </w:r>
          </w:p>
          <w:p w:rsidR="00B23CFD" w:rsidRPr="002750F4" w:rsidRDefault="00B23CFD" w:rsidP="00800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2750F4">
              <w:t>Meets or exceeds established performance goals for savings and customer satisfaction.</w:t>
            </w:r>
          </w:p>
          <w:p w:rsidR="00EF6093" w:rsidRPr="002750F4" w:rsidRDefault="00C61A94" w:rsidP="008007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Executes other</w:t>
            </w:r>
            <w:r w:rsidR="00EF6093" w:rsidRPr="002750F4">
              <w:t xml:space="preserve"> Sourcing initiatives as required and assigned by Strategic Sourcing Director.</w:t>
            </w:r>
          </w:p>
          <w:p w:rsidR="00D231BE" w:rsidRPr="002750F4" w:rsidRDefault="00D231BE" w:rsidP="0080077F">
            <w:pPr>
              <w:pStyle w:val="ListParagraph"/>
              <w:autoSpaceDE w:val="0"/>
              <w:autoSpaceDN w:val="0"/>
              <w:adjustRightInd w:val="0"/>
              <w:ind w:left="360"/>
            </w:pPr>
          </w:p>
        </w:tc>
      </w:tr>
      <w:tr w:rsidR="006D2808" w:rsidTr="00546873">
        <w:trPr>
          <w:cantSplit/>
        </w:trPr>
        <w:tc>
          <w:tcPr>
            <w:tcW w:w="641" w:type="dxa"/>
          </w:tcPr>
          <w:p w:rsidR="006D2808" w:rsidRPr="002750F4" w:rsidRDefault="006D2808" w:rsidP="001743B2">
            <w:pPr>
              <w:spacing w:after="120"/>
              <w:rPr>
                <w:b/>
                <w:bCs/>
              </w:rPr>
            </w:pPr>
          </w:p>
        </w:tc>
        <w:tc>
          <w:tcPr>
            <w:tcW w:w="507" w:type="dxa"/>
          </w:tcPr>
          <w:p w:rsidR="006D2808" w:rsidRPr="002750F4" w:rsidRDefault="008D4A93" w:rsidP="001743B2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2750F4">
              <w:t>5.</w:t>
            </w:r>
          </w:p>
        </w:tc>
        <w:tc>
          <w:tcPr>
            <w:tcW w:w="8410" w:type="dxa"/>
          </w:tcPr>
          <w:p w:rsidR="006D2808" w:rsidRPr="002750F4" w:rsidRDefault="006D2808" w:rsidP="0080077F">
            <w:pPr>
              <w:autoSpaceDE w:val="0"/>
              <w:autoSpaceDN w:val="0"/>
              <w:adjustRightInd w:val="0"/>
            </w:pPr>
            <w:r w:rsidRPr="002750F4">
              <w:t>Manage</w:t>
            </w:r>
            <w:r w:rsidR="0080077F" w:rsidRPr="002750F4">
              <w:t>s</w:t>
            </w:r>
            <w:r w:rsidRPr="002750F4">
              <w:t xml:space="preserve"> Contracts and</w:t>
            </w:r>
            <w:r w:rsidR="00906E4B">
              <w:t xml:space="preserve"> Supplier Relationship Management (SRM)</w:t>
            </w:r>
          </w:p>
          <w:p w:rsidR="0080077F" w:rsidRPr="002750F4" w:rsidRDefault="002852DC" w:rsidP="009A732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2750F4">
              <w:t>Facilitates contract</w:t>
            </w:r>
            <w:r w:rsidR="007236AF" w:rsidRPr="002750F4">
              <w:t xml:space="preserve"> execution</w:t>
            </w:r>
            <w:r w:rsidR="0096727F" w:rsidRPr="002750F4">
              <w:t xml:space="preserve"> </w:t>
            </w:r>
            <w:r w:rsidR="002E1CF2" w:rsidRPr="002750F4">
              <w:t xml:space="preserve">with </w:t>
            </w:r>
            <w:r w:rsidR="00B23CFD" w:rsidRPr="002750F4">
              <w:t xml:space="preserve">key category </w:t>
            </w:r>
            <w:r w:rsidR="002E1CF2" w:rsidRPr="002750F4">
              <w:t>suppliers</w:t>
            </w:r>
            <w:r w:rsidR="00B23CFD" w:rsidRPr="002750F4">
              <w:t xml:space="preserve"> to </w:t>
            </w:r>
            <w:r w:rsidR="0080077F" w:rsidRPr="002750F4">
              <w:t>ensur</w:t>
            </w:r>
            <w:r w:rsidR="00B23CFD" w:rsidRPr="002750F4">
              <w:t>e</w:t>
            </w:r>
            <w:r w:rsidR="0080077F" w:rsidRPr="002750F4">
              <w:t xml:space="preserve"> that required terms and conditions are included and that contract termination dates are tracked and managed. </w:t>
            </w:r>
          </w:p>
          <w:p w:rsidR="0080077F" w:rsidRPr="002750F4" w:rsidRDefault="00B23CFD" w:rsidP="00906E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2750F4">
              <w:t>Manages</w:t>
            </w:r>
            <w:r w:rsidR="008D4A93" w:rsidRPr="002750F4">
              <w:t xml:space="preserve"> </w:t>
            </w:r>
            <w:r w:rsidR="00906E4B">
              <w:t xml:space="preserve">Supplier Relationships (SRM) for </w:t>
            </w:r>
            <w:r w:rsidR="00C42F82">
              <w:t>Leverage (</w:t>
            </w:r>
            <w:r w:rsidR="00906E4B">
              <w:t>high spend-low risk</w:t>
            </w:r>
            <w:r w:rsidR="00C42F82">
              <w:t>)</w:t>
            </w:r>
            <w:r w:rsidR="00906E4B">
              <w:t xml:space="preserve">, or </w:t>
            </w:r>
            <w:r w:rsidR="00C42F82">
              <w:t>Bottleneck (</w:t>
            </w:r>
            <w:r w:rsidR="00906E4B">
              <w:t>high risk-low spend</w:t>
            </w:r>
            <w:r w:rsidR="00C42F82">
              <w:t>)</w:t>
            </w:r>
            <w:r w:rsidR="00906E4B">
              <w:t xml:space="preserve"> vendors</w:t>
            </w:r>
            <w:r w:rsidR="008D4A93" w:rsidRPr="002750F4">
              <w:t xml:space="preserve"> including monitoring and measuring performance relative t</w:t>
            </w:r>
            <w:r w:rsidRPr="002750F4">
              <w:t xml:space="preserve">o contract terms and conditions, service level agreements (SLAs), and key performance indicators (KPIs). </w:t>
            </w:r>
          </w:p>
        </w:tc>
      </w:tr>
    </w:tbl>
    <w:p w:rsidR="00D3742E" w:rsidRDefault="00D3742E" w:rsidP="00B65281"/>
    <w:tbl>
      <w:tblPr>
        <w:tblW w:w="9648" w:type="dxa"/>
        <w:tblLook w:val="0000" w:firstRow="0" w:lastRow="0" w:firstColumn="0" w:lastColumn="0" w:noHBand="0" w:noVBand="0"/>
      </w:tblPr>
      <w:tblGrid>
        <w:gridCol w:w="640"/>
        <w:gridCol w:w="576"/>
        <w:gridCol w:w="8432"/>
      </w:tblGrid>
      <w:tr w:rsidR="009029E6" w:rsidTr="009A4AB2">
        <w:tc>
          <w:tcPr>
            <w:tcW w:w="640" w:type="dxa"/>
          </w:tcPr>
          <w:p w:rsidR="009029E6" w:rsidRDefault="009029E6" w:rsidP="00B65281">
            <w:pPr>
              <w:rPr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9008" w:type="dxa"/>
            <w:gridSpan w:val="2"/>
          </w:tcPr>
          <w:p w:rsidR="009029E6" w:rsidRDefault="009029E6" w:rsidP="00B65281">
            <w:pPr>
              <w:pStyle w:val="Heading1"/>
            </w:pPr>
            <w:r>
              <w:t>Nonessential Duties</w:t>
            </w:r>
          </w:p>
        </w:tc>
      </w:tr>
      <w:tr w:rsidR="009029E6" w:rsidTr="009A4AB2">
        <w:tc>
          <w:tcPr>
            <w:tcW w:w="640" w:type="dxa"/>
          </w:tcPr>
          <w:p w:rsidR="009029E6" w:rsidRDefault="009029E6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9029E6" w:rsidRDefault="009029E6" w:rsidP="00B65281"/>
        </w:tc>
      </w:tr>
      <w:tr w:rsidR="009029E6" w:rsidTr="009A4AB2">
        <w:trPr>
          <w:cantSplit/>
          <w:trHeight w:val="647"/>
        </w:trPr>
        <w:tc>
          <w:tcPr>
            <w:tcW w:w="640" w:type="dxa"/>
          </w:tcPr>
          <w:p w:rsidR="009029E6" w:rsidRPr="007C70FF" w:rsidRDefault="009029E6" w:rsidP="00B65281">
            <w:pPr>
              <w:spacing w:after="120"/>
            </w:pPr>
          </w:p>
        </w:tc>
        <w:tc>
          <w:tcPr>
            <w:tcW w:w="576" w:type="dxa"/>
          </w:tcPr>
          <w:p w:rsidR="009029E6" w:rsidRPr="007C70FF" w:rsidRDefault="009029E6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7C70FF">
              <w:t>1.</w:t>
            </w:r>
          </w:p>
        </w:tc>
        <w:tc>
          <w:tcPr>
            <w:tcW w:w="8432" w:type="dxa"/>
          </w:tcPr>
          <w:p w:rsidR="009029E6" w:rsidRPr="007C70FF" w:rsidRDefault="007C70FF" w:rsidP="00B65281">
            <w:pPr>
              <w:autoSpaceDE w:val="0"/>
              <w:autoSpaceDN w:val="0"/>
              <w:adjustRightInd w:val="0"/>
            </w:pPr>
            <w:r w:rsidRPr="007C70FF">
              <w:t>Identifies continuous improvement opportunities throughout the Procurement function.</w:t>
            </w:r>
          </w:p>
        </w:tc>
      </w:tr>
      <w:tr w:rsidR="00EF6093" w:rsidTr="009A4AB2">
        <w:trPr>
          <w:cantSplit/>
        </w:trPr>
        <w:tc>
          <w:tcPr>
            <w:tcW w:w="640" w:type="dxa"/>
          </w:tcPr>
          <w:p w:rsidR="00EF6093" w:rsidRPr="007C70FF" w:rsidRDefault="00EF6093" w:rsidP="00B65281">
            <w:pPr>
              <w:spacing w:after="120"/>
            </w:pPr>
          </w:p>
        </w:tc>
        <w:tc>
          <w:tcPr>
            <w:tcW w:w="576" w:type="dxa"/>
          </w:tcPr>
          <w:p w:rsidR="00EF6093" w:rsidRPr="007C70FF" w:rsidRDefault="00EF6093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2.</w:t>
            </w:r>
          </w:p>
        </w:tc>
        <w:tc>
          <w:tcPr>
            <w:tcW w:w="8432" w:type="dxa"/>
          </w:tcPr>
          <w:p w:rsidR="00EF6093" w:rsidRDefault="00EF6093" w:rsidP="00B65281">
            <w:pPr>
              <w:autoSpaceDE w:val="0"/>
              <w:autoSpaceDN w:val="0"/>
              <w:adjustRightInd w:val="0"/>
            </w:pPr>
            <w:r w:rsidRPr="00546873">
              <w:t>Executes other projects requiring self-direction, analysis, and interpretation as assigned by the Strategic Sourcing Director.</w:t>
            </w:r>
          </w:p>
          <w:p w:rsidR="00B65281" w:rsidRPr="00546873" w:rsidRDefault="00B65281" w:rsidP="00B65281">
            <w:pPr>
              <w:autoSpaceDE w:val="0"/>
              <w:autoSpaceDN w:val="0"/>
              <w:adjustRightInd w:val="0"/>
            </w:pPr>
          </w:p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9008" w:type="dxa"/>
            <w:gridSpan w:val="2"/>
          </w:tcPr>
          <w:p w:rsidR="00EF6093" w:rsidRDefault="00EF6093" w:rsidP="00B65281">
            <w:pPr>
              <w:pStyle w:val="Heading1"/>
            </w:pPr>
            <w:r>
              <w:t>Supervisory Responsibilities</w:t>
            </w:r>
          </w:p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>
            <w:r>
              <w:t xml:space="preserve">None </w:t>
            </w:r>
          </w:p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/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9008" w:type="dxa"/>
            <w:gridSpan w:val="2"/>
          </w:tcPr>
          <w:p w:rsidR="00EF6093" w:rsidRDefault="00EF6093" w:rsidP="00B65281">
            <w:pPr>
              <w:pStyle w:val="Heading1"/>
            </w:pPr>
            <w:r>
              <w:t>Reporting Relationship</w:t>
            </w:r>
          </w:p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>
            <w:r>
              <w:t>Reports to the Strategic Sourcing Director.</w:t>
            </w:r>
          </w:p>
        </w:tc>
      </w:tr>
      <w:tr w:rsidR="00EF6093" w:rsidTr="009A4AB2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/>
        </w:tc>
      </w:tr>
      <w:tr w:rsidR="00EF6093" w:rsidTr="005564CF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  <w:r>
              <w:rPr>
                <w:b/>
                <w:bCs/>
              </w:rPr>
              <w:t>VI.</w:t>
            </w:r>
          </w:p>
        </w:tc>
        <w:tc>
          <w:tcPr>
            <w:tcW w:w="9008" w:type="dxa"/>
            <w:gridSpan w:val="2"/>
          </w:tcPr>
          <w:p w:rsidR="00EF6093" w:rsidRDefault="00EF6093" w:rsidP="00B65281">
            <w:pPr>
              <w:pStyle w:val="Heading1"/>
            </w:pPr>
            <w:r>
              <w:t>Knowledge, Skills and Abilities</w:t>
            </w:r>
          </w:p>
        </w:tc>
      </w:tr>
      <w:tr w:rsidR="00EF6093" w:rsidTr="005564CF">
        <w:trPr>
          <w:trHeight w:val="70"/>
        </w:trPr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/>
        </w:tc>
      </w:tr>
      <w:tr w:rsidR="00EF6093" w:rsidTr="005564CF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Required:</w:t>
            </w:r>
          </w:p>
        </w:tc>
      </w:tr>
      <w:tr w:rsidR="00EF6093" w:rsidTr="005564CF">
        <w:tc>
          <w:tcPr>
            <w:tcW w:w="640" w:type="dxa"/>
          </w:tcPr>
          <w:p w:rsidR="00EF6093" w:rsidRDefault="00EF6093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EF6093" w:rsidRDefault="00EF6093" w:rsidP="00B65281"/>
        </w:tc>
      </w:tr>
      <w:tr w:rsidR="00EF6093" w:rsidTr="005564CF">
        <w:trPr>
          <w:cantSplit/>
          <w:trHeight w:val="701"/>
        </w:trPr>
        <w:tc>
          <w:tcPr>
            <w:tcW w:w="640" w:type="dxa"/>
          </w:tcPr>
          <w:p w:rsidR="00EF6093" w:rsidRDefault="00EF6093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EF6093" w:rsidRDefault="00EF6093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1.</w:t>
            </w:r>
          </w:p>
        </w:tc>
        <w:tc>
          <w:tcPr>
            <w:tcW w:w="8432" w:type="dxa"/>
          </w:tcPr>
          <w:p w:rsidR="00F1425B" w:rsidRPr="004147F6" w:rsidRDefault="00825B5F" w:rsidP="00F1425B">
            <w:r>
              <w:t xml:space="preserve">Extensive </w:t>
            </w:r>
            <w:r w:rsidR="00546873">
              <w:t>experience running a competitive procurement process with multiple bidders for contracts with annual spending</w:t>
            </w:r>
            <w:r>
              <w:t xml:space="preserve"> of </w:t>
            </w:r>
            <w:r w:rsidR="00EF6093">
              <w:t>$50,000 or more.</w:t>
            </w:r>
          </w:p>
        </w:tc>
      </w:tr>
      <w:tr w:rsidR="00EF6093" w:rsidTr="005564CF">
        <w:trPr>
          <w:cantSplit/>
        </w:trPr>
        <w:tc>
          <w:tcPr>
            <w:tcW w:w="640" w:type="dxa"/>
          </w:tcPr>
          <w:p w:rsidR="00EF6093" w:rsidRDefault="00EF6093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EF6093" w:rsidRDefault="00EF6093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2.</w:t>
            </w:r>
          </w:p>
        </w:tc>
        <w:tc>
          <w:tcPr>
            <w:tcW w:w="8432" w:type="dxa"/>
          </w:tcPr>
          <w:p w:rsidR="00DC1093" w:rsidRPr="004147F6" w:rsidRDefault="00825B5F" w:rsidP="00F1425B">
            <w:r w:rsidRPr="004147F6">
              <w:t xml:space="preserve">Experience </w:t>
            </w:r>
            <w:r w:rsidR="00406133">
              <w:t xml:space="preserve">facilitating </w:t>
            </w:r>
            <w:r w:rsidR="00406133" w:rsidRPr="004147F6">
              <w:t>contract</w:t>
            </w:r>
            <w:r w:rsidR="007236AF">
              <w:t xml:space="preserve"> process</w:t>
            </w:r>
            <w:r w:rsidRPr="004147F6">
              <w:t xml:space="preserve"> and managing supplier relationships</w:t>
            </w:r>
            <w:r>
              <w:t>.</w:t>
            </w:r>
          </w:p>
        </w:tc>
      </w:tr>
      <w:tr w:rsidR="00EF6093" w:rsidTr="005564CF">
        <w:trPr>
          <w:cantSplit/>
          <w:trHeight w:val="954"/>
        </w:trPr>
        <w:tc>
          <w:tcPr>
            <w:tcW w:w="640" w:type="dxa"/>
          </w:tcPr>
          <w:p w:rsidR="00EF6093" w:rsidRPr="00DC1093" w:rsidRDefault="00EF6093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EF6093" w:rsidRPr="00DC1093" w:rsidRDefault="00EF6093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DC1093">
              <w:t>3.</w:t>
            </w:r>
          </w:p>
        </w:tc>
        <w:tc>
          <w:tcPr>
            <w:tcW w:w="8432" w:type="dxa"/>
          </w:tcPr>
          <w:p w:rsidR="00C42F82" w:rsidRDefault="00825B5F" w:rsidP="00C42F82">
            <w:r w:rsidRPr="00DC1093">
              <w:t>Experience procu</w:t>
            </w:r>
            <w:r w:rsidR="00C42F82">
              <w:t>ring f</w:t>
            </w:r>
            <w:r w:rsidR="00C42F82" w:rsidRPr="0010232A">
              <w:t xml:space="preserve">acilities, transportation services, energy, professional services, </w:t>
            </w:r>
            <w:r w:rsidR="00C42F82">
              <w:t xml:space="preserve">office supplies, travel, furniture, </w:t>
            </w:r>
            <w:r w:rsidR="00C42F82" w:rsidRPr="0010232A">
              <w:t xml:space="preserve">insurance, banking </w:t>
            </w:r>
            <w:r w:rsidR="00C42F82">
              <w:t>services, IT hardware/software, print, food</w:t>
            </w:r>
            <w:r w:rsidR="00C42F82" w:rsidRPr="0010232A">
              <w:t xml:space="preserve">, scientific equipment and supplies, </w:t>
            </w:r>
            <w:r w:rsidR="00C42F82">
              <w:t>marketing and other Strategic</w:t>
            </w:r>
            <w:r w:rsidR="00C42F82" w:rsidRPr="0010232A">
              <w:t xml:space="preserve"> categories.</w:t>
            </w:r>
            <w:r w:rsidR="00C42F82">
              <w:t xml:space="preserve">   </w:t>
            </w:r>
          </w:p>
          <w:p w:rsidR="00C42F82" w:rsidRDefault="00C42F82" w:rsidP="00C42F82">
            <w:pPr>
              <w:pStyle w:val="ListParagraph"/>
              <w:ind w:left="1440"/>
            </w:pPr>
          </w:p>
          <w:p w:rsidR="00F1425B" w:rsidRPr="00DC1093" w:rsidRDefault="00F1425B" w:rsidP="00C42F82"/>
        </w:tc>
      </w:tr>
      <w:tr w:rsidR="005564CF" w:rsidTr="005564CF">
        <w:trPr>
          <w:cantSplit/>
          <w:trHeight w:val="954"/>
        </w:trPr>
        <w:tc>
          <w:tcPr>
            <w:tcW w:w="640" w:type="dxa"/>
          </w:tcPr>
          <w:p w:rsidR="005564CF" w:rsidRPr="00DC1093" w:rsidRDefault="005564CF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</w:tcPr>
          <w:p w:rsidR="005564CF" w:rsidRPr="005564CF" w:rsidRDefault="005564CF" w:rsidP="00BB28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5564CF">
              <w:t>4.</w:t>
            </w:r>
          </w:p>
        </w:tc>
        <w:tc>
          <w:tcPr>
            <w:tcW w:w="8432" w:type="dxa"/>
            <w:shd w:val="clear" w:color="auto" w:fill="auto"/>
          </w:tcPr>
          <w:p w:rsidR="005564CF" w:rsidRPr="005564CF" w:rsidRDefault="005564CF" w:rsidP="00BB287E">
            <w:r w:rsidRPr="005564CF">
              <w:t xml:space="preserve">Ability to formulate effective sourcing strategies that accomplish performance and savings goals, anticipate potential threats or opportunities, and are consistent with department goals and policies. </w:t>
            </w:r>
          </w:p>
        </w:tc>
      </w:tr>
      <w:tr w:rsidR="005564CF" w:rsidTr="005564CF">
        <w:trPr>
          <w:cantSplit/>
          <w:trHeight w:val="611"/>
        </w:trPr>
        <w:tc>
          <w:tcPr>
            <w:tcW w:w="640" w:type="dxa"/>
          </w:tcPr>
          <w:p w:rsidR="005564CF" w:rsidRPr="00DC1093" w:rsidRDefault="005564CF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</w:tcPr>
          <w:p w:rsidR="005564CF" w:rsidRPr="005564CF" w:rsidRDefault="005564CF" w:rsidP="00BB28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5564CF">
              <w:t>5.</w:t>
            </w:r>
          </w:p>
        </w:tc>
        <w:tc>
          <w:tcPr>
            <w:tcW w:w="8432" w:type="dxa"/>
            <w:shd w:val="clear" w:color="auto" w:fill="auto"/>
          </w:tcPr>
          <w:p w:rsidR="005564CF" w:rsidRPr="005564CF" w:rsidRDefault="005564CF" w:rsidP="00BB287E">
            <w:r w:rsidRPr="005564CF">
              <w:t>Ability to make clear and convincing oral presentations to individuals or groups and facilitates an open exchange of ideas.</w:t>
            </w:r>
          </w:p>
        </w:tc>
      </w:tr>
      <w:tr w:rsidR="005564CF" w:rsidTr="005564CF">
        <w:trPr>
          <w:cantSplit/>
          <w:trHeight w:val="620"/>
        </w:trPr>
        <w:tc>
          <w:tcPr>
            <w:tcW w:w="640" w:type="dxa"/>
          </w:tcPr>
          <w:p w:rsidR="005564CF" w:rsidRPr="00DC1093" w:rsidRDefault="005564CF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</w:tcPr>
          <w:p w:rsidR="005564CF" w:rsidRPr="005564CF" w:rsidRDefault="005564CF" w:rsidP="00BB28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 w:rsidRPr="005564CF">
              <w:t>6.</w:t>
            </w:r>
          </w:p>
        </w:tc>
        <w:tc>
          <w:tcPr>
            <w:tcW w:w="8432" w:type="dxa"/>
            <w:shd w:val="clear" w:color="auto" w:fill="auto"/>
          </w:tcPr>
          <w:p w:rsidR="005564CF" w:rsidRPr="005564CF" w:rsidRDefault="005564CF" w:rsidP="00BB287E">
            <w:r w:rsidRPr="005564CF">
              <w:t>Ability to persuade and gain cooperation from others to obtain information and accomplish goals.</w:t>
            </w:r>
          </w:p>
        </w:tc>
      </w:tr>
      <w:tr w:rsidR="005564CF" w:rsidTr="005564CF">
        <w:trPr>
          <w:cantSplit/>
          <w:trHeight w:val="143"/>
        </w:trPr>
        <w:tc>
          <w:tcPr>
            <w:tcW w:w="640" w:type="dxa"/>
          </w:tcPr>
          <w:p w:rsidR="005564CF" w:rsidRDefault="005564CF" w:rsidP="00B65281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5564CF" w:rsidRDefault="005564CF" w:rsidP="00BB28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7.</w:t>
            </w:r>
          </w:p>
        </w:tc>
        <w:tc>
          <w:tcPr>
            <w:tcW w:w="8432" w:type="dxa"/>
          </w:tcPr>
          <w:p w:rsidR="005564CF" w:rsidRPr="004147F6" w:rsidRDefault="005564CF" w:rsidP="00BB287E">
            <w:r w:rsidRPr="004147F6">
              <w:t>Ability to manage and prioritize multiple responsibilities</w:t>
            </w:r>
            <w:r>
              <w:t>.</w:t>
            </w:r>
          </w:p>
        </w:tc>
      </w:tr>
      <w:tr w:rsidR="005564CF" w:rsidTr="005564CF">
        <w:trPr>
          <w:cantSplit/>
          <w:trHeight w:val="395"/>
        </w:trPr>
        <w:tc>
          <w:tcPr>
            <w:tcW w:w="640" w:type="dxa"/>
          </w:tcPr>
          <w:p w:rsidR="005564CF" w:rsidRDefault="005564CF" w:rsidP="00B65281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5564CF" w:rsidRDefault="005564CF" w:rsidP="00BB287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8.</w:t>
            </w:r>
          </w:p>
        </w:tc>
        <w:tc>
          <w:tcPr>
            <w:tcW w:w="8432" w:type="dxa"/>
          </w:tcPr>
          <w:p w:rsidR="005564CF" w:rsidRPr="004147F6" w:rsidRDefault="005564CF" w:rsidP="00BB287E">
            <w:r w:rsidRPr="004147F6">
              <w:t>Proficiency with Microsoft Applications:  Excel, Word.</w:t>
            </w:r>
          </w:p>
        </w:tc>
      </w:tr>
    </w:tbl>
    <w:p w:rsidR="005564CF" w:rsidRDefault="005564CF">
      <w:r>
        <w:br w:type="page"/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640"/>
        <w:gridCol w:w="576"/>
        <w:gridCol w:w="8432"/>
      </w:tblGrid>
      <w:tr w:rsidR="00825B5F" w:rsidTr="005564CF">
        <w:tc>
          <w:tcPr>
            <w:tcW w:w="640" w:type="dxa"/>
          </w:tcPr>
          <w:p w:rsidR="00825B5F" w:rsidRDefault="00825B5F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825B5F" w:rsidRDefault="00825B5F" w:rsidP="00B652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Preferred:</w:t>
            </w:r>
          </w:p>
          <w:p w:rsidR="002750F4" w:rsidRDefault="002750F4" w:rsidP="00B65281"/>
        </w:tc>
      </w:tr>
      <w:tr w:rsidR="00825B5F" w:rsidTr="002750F4">
        <w:trPr>
          <w:cantSplit/>
        </w:trPr>
        <w:tc>
          <w:tcPr>
            <w:tcW w:w="640" w:type="dxa"/>
          </w:tcPr>
          <w:p w:rsidR="00825B5F" w:rsidRDefault="00825B5F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825B5F" w:rsidRDefault="00825B5F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1.</w:t>
            </w:r>
          </w:p>
        </w:tc>
        <w:tc>
          <w:tcPr>
            <w:tcW w:w="8432" w:type="dxa"/>
          </w:tcPr>
          <w:p w:rsidR="00825B5F" w:rsidRPr="004147F6" w:rsidRDefault="00BF6F6F" w:rsidP="002750F4">
            <w:pPr>
              <w:autoSpaceDE w:val="0"/>
              <w:autoSpaceDN w:val="0"/>
              <w:adjustRightInd w:val="0"/>
              <w:spacing w:after="120"/>
            </w:pPr>
            <w:r w:rsidRPr="002750F4">
              <w:rPr>
                <w:rFonts w:ascii="Times-Roman" w:hAnsi="Times-Roman" w:cs="Times-Roman"/>
              </w:rPr>
              <w:t xml:space="preserve">Experience </w:t>
            </w:r>
            <w:r w:rsidR="002750F4">
              <w:rPr>
                <w:rFonts w:ascii="Times-Roman" w:hAnsi="Times-Roman" w:cs="Times-Roman"/>
              </w:rPr>
              <w:t xml:space="preserve">running a </w:t>
            </w:r>
            <w:r w:rsidRPr="002750F4">
              <w:rPr>
                <w:rFonts w:ascii="Times-Roman" w:hAnsi="Times-Roman" w:cs="Times-Roman"/>
              </w:rPr>
              <w:t xml:space="preserve">competitive procurement </w:t>
            </w:r>
            <w:r w:rsidR="002750F4">
              <w:rPr>
                <w:rFonts w:ascii="Times-Roman" w:hAnsi="Times-Roman" w:cs="Times-Roman"/>
              </w:rPr>
              <w:t xml:space="preserve">process in a non-profit and/or higher education </w:t>
            </w:r>
            <w:r w:rsidRPr="002750F4">
              <w:rPr>
                <w:rFonts w:ascii="Times-Roman" w:hAnsi="Times-Roman" w:cs="Times-Roman"/>
              </w:rPr>
              <w:t>organization of equivalent complexity as the University Maine System.</w:t>
            </w:r>
          </w:p>
        </w:tc>
      </w:tr>
      <w:tr w:rsidR="002750F4" w:rsidTr="002750F4">
        <w:trPr>
          <w:cantSplit/>
          <w:trHeight w:val="584"/>
        </w:trPr>
        <w:tc>
          <w:tcPr>
            <w:tcW w:w="640" w:type="dxa"/>
          </w:tcPr>
          <w:p w:rsidR="002750F4" w:rsidRDefault="002750F4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2750F4" w:rsidRDefault="002750F4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2.</w:t>
            </w:r>
          </w:p>
        </w:tc>
        <w:tc>
          <w:tcPr>
            <w:tcW w:w="8432" w:type="dxa"/>
          </w:tcPr>
          <w:p w:rsidR="002750F4" w:rsidRPr="002750F4" w:rsidRDefault="002750F4" w:rsidP="002750F4">
            <w:pPr>
              <w:autoSpaceDE w:val="0"/>
              <w:autoSpaceDN w:val="0"/>
              <w:adjustRightInd w:val="0"/>
              <w:spacing w:after="120"/>
              <w:rPr>
                <w:rFonts w:ascii="Times-Roman" w:hAnsi="Times-Roman" w:cs="Times-Roman"/>
              </w:rPr>
            </w:pPr>
            <w:r w:rsidRPr="00DC1093">
              <w:rPr>
                <w:rFonts w:ascii="Times-Roman" w:hAnsi="Times-Roman" w:cs="Times-Roman"/>
              </w:rPr>
              <w:t xml:space="preserve">Experience executing initiatives following a structured Strategic Sourcing methodology and framework.  </w:t>
            </w:r>
          </w:p>
        </w:tc>
      </w:tr>
      <w:tr w:rsidR="002750F4" w:rsidTr="002750F4">
        <w:trPr>
          <w:cantSplit/>
        </w:trPr>
        <w:tc>
          <w:tcPr>
            <w:tcW w:w="640" w:type="dxa"/>
          </w:tcPr>
          <w:p w:rsidR="002750F4" w:rsidRDefault="002750F4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2750F4" w:rsidRDefault="002750F4" w:rsidP="00B30DA4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3.</w:t>
            </w:r>
          </w:p>
        </w:tc>
        <w:tc>
          <w:tcPr>
            <w:tcW w:w="8432" w:type="dxa"/>
          </w:tcPr>
          <w:p w:rsidR="002750F4" w:rsidRPr="004147F6" w:rsidRDefault="002750F4" w:rsidP="00DC1093">
            <w:pPr>
              <w:spacing w:after="120"/>
            </w:pPr>
            <w:r>
              <w:t>Experience conducting procurement related financial analysis including historical spend research, Sourcing savings estimates, return on investment calculations, and total cost of ownership projections.</w:t>
            </w:r>
          </w:p>
        </w:tc>
      </w:tr>
      <w:tr w:rsidR="002750F4" w:rsidTr="002750F4">
        <w:trPr>
          <w:cantSplit/>
          <w:trHeight w:val="396"/>
        </w:trPr>
        <w:tc>
          <w:tcPr>
            <w:tcW w:w="640" w:type="dxa"/>
          </w:tcPr>
          <w:p w:rsidR="002750F4" w:rsidRDefault="002750F4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2750F4" w:rsidRDefault="002750F4" w:rsidP="00B30DA4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4.</w:t>
            </w:r>
          </w:p>
        </w:tc>
        <w:tc>
          <w:tcPr>
            <w:tcW w:w="8432" w:type="dxa"/>
          </w:tcPr>
          <w:p w:rsidR="002750F4" w:rsidRPr="004147F6" w:rsidRDefault="002750F4" w:rsidP="00DC1093">
            <w:pPr>
              <w:spacing w:after="120"/>
            </w:pPr>
            <w:r w:rsidRPr="00DC1093">
              <w:rPr>
                <w:rFonts w:ascii="Times-Roman" w:hAnsi="Times-Roman" w:cs="Times-Roman"/>
              </w:rPr>
              <w:t>Proficiency with Microsoft Applications:  PowerPoint, Project.</w:t>
            </w:r>
          </w:p>
        </w:tc>
      </w:tr>
      <w:tr w:rsidR="002750F4" w:rsidTr="002750F4">
        <w:trPr>
          <w:cantSplit/>
          <w:trHeight w:val="396"/>
        </w:trPr>
        <w:tc>
          <w:tcPr>
            <w:tcW w:w="640" w:type="dxa"/>
            <w:shd w:val="clear" w:color="auto" w:fill="auto"/>
          </w:tcPr>
          <w:p w:rsidR="002750F4" w:rsidRDefault="002750F4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  <w:shd w:val="clear" w:color="auto" w:fill="auto"/>
          </w:tcPr>
          <w:p w:rsidR="002750F4" w:rsidRDefault="002750F4" w:rsidP="00B30DA4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5.</w:t>
            </w:r>
          </w:p>
        </w:tc>
        <w:tc>
          <w:tcPr>
            <w:tcW w:w="8432" w:type="dxa"/>
            <w:shd w:val="clear" w:color="auto" w:fill="auto"/>
          </w:tcPr>
          <w:p w:rsidR="002750F4" w:rsidRPr="00DC1093" w:rsidRDefault="002750F4" w:rsidP="00DC1093">
            <w:pPr>
              <w:spacing w:after="120"/>
              <w:rPr>
                <w:rFonts w:ascii="Times-Roman" w:hAnsi="Times-Roman" w:cs="Times-Roman"/>
              </w:rPr>
            </w:pPr>
            <w:r w:rsidRPr="00DC1093">
              <w:rPr>
                <w:rFonts w:ascii="Times-Roman" w:hAnsi="Times-Roman" w:cs="Times-Roman"/>
              </w:rPr>
              <w:t>Proficiency with ERP and eProcurement systems</w:t>
            </w:r>
            <w:r w:rsidR="00D57236">
              <w:rPr>
                <w:rFonts w:ascii="Times-Roman" w:hAnsi="Times-Roman" w:cs="Times-Roman"/>
              </w:rPr>
              <w:t>, and Sourcing Software.</w:t>
            </w:r>
          </w:p>
        </w:tc>
      </w:tr>
      <w:tr w:rsidR="002750F4" w:rsidTr="002750F4">
        <w:trPr>
          <w:cantSplit/>
        </w:trPr>
        <w:tc>
          <w:tcPr>
            <w:tcW w:w="640" w:type="dxa"/>
          </w:tcPr>
          <w:p w:rsidR="002750F4" w:rsidRDefault="002750F4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76" w:type="dxa"/>
          </w:tcPr>
          <w:p w:rsidR="002750F4" w:rsidRDefault="002750F4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6.</w:t>
            </w:r>
          </w:p>
        </w:tc>
        <w:tc>
          <w:tcPr>
            <w:tcW w:w="8432" w:type="dxa"/>
          </w:tcPr>
          <w:p w:rsidR="002750F4" w:rsidRPr="004147F6" w:rsidRDefault="002750F4" w:rsidP="00B65281">
            <w:pPr>
              <w:autoSpaceDE w:val="0"/>
              <w:autoSpaceDN w:val="0"/>
              <w:adjustRightInd w:val="0"/>
              <w:spacing w:after="120"/>
            </w:pPr>
            <w:r w:rsidRPr="004147F6">
              <w:rPr>
                <w:rFonts w:ascii="Times-Roman" w:hAnsi="Times-Roman" w:cs="Times-Roman"/>
              </w:rPr>
              <w:t>Understanding of Maine State Procurement Law, Policy, and Process.</w:t>
            </w:r>
          </w:p>
        </w:tc>
      </w:tr>
      <w:tr w:rsidR="002750F4" w:rsidTr="002750F4">
        <w:tc>
          <w:tcPr>
            <w:tcW w:w="640" w:type="dxa"/>
          </w:tcPr>
          <w:p w:rsidR="002750F4" w:rsidRDefault="002750F4" w:rsidP="00B65281">
            <w:pPr>
              <w:rPr>
                <w:b/>
                <w:bCs/>
              </w:rPr>
            </w:pPr>
          </w:p>
        </w:tc>
        <w:tc>
          <w:tcPr>
            <w:tcW w:w="9008" w:type="dxa"/>
            <w:gridSpan w:val="2"/>
          </w:tcPr>
          <w:p w:rsidR="002750F4" w:rsidRDefault="002750F4" w:rsidP="00B65281"/>
        </w:tc>
      </w:tr>
    </w:tbl>
    <w:p w:rsidR="009029E6" w:rsidRDefault="009029E6" w:rsidP="00B65281"/>
    <w:tbl>
      <w:tblPr>
        <w:tblW w:w="0" w:type="auto"/>
        <w:tblLook w:val="0000" w:firstRow="0" w:lastRow="0" w:firstColumn="0" w:lastColumn="0" w:noHBand="0" w:noVBand="0"/>
      </w:tblPr>
      <w:tblGrid>
        <w:gridCol w:w="721"/>
        <w:gridCol w:w="55"/>
        <w:gridCol w:w="444"/>
        <w:gridCol w:w="8122"/>
        <w:gridCol w:w="18"/>
      </w:tblGrid>
      <w:tr w:rsidR="009029E6" w:rsidTr="009A4AB2">
        <w:trPr>
          <w:gridAfter w:val="1"/>
          <w:wAfter w:w="18" w:type="dxa"/>
          <w:trHeight w:val="162"/>
        </w:trPr>
        <w:tc>
          <w:tcPr>
            <w:tcW w:w="721" w:type="dxa"/>
          </w:tcPr>
          <w:p w:rsidR="009029E6" w:rsidRDefault="009029E6" w:rsidP="00B65281">
            <w:pPr>
              <w:rPr>
                <w:b/>
                <w:bCs/>
              </w:rPr>
            </w:pPr>
            <w:r>
              <w:rPr>
                <w:b/>
                <w:bCs/>
              </w:rPr>
              <w:t>VII.</w:t>
            </w:r>
          </w:p>
        </w:tc>
        <w:tc>
          <w:tcPr>
            <w:tcW w:w="8837" w:type="dxa"/>
            <w:gridSpan w:val="3"/>
          </w:tcPr>
          <w:p w:rsidR="009029E6" w:rsidRDefault="009029E6" w:rsidP="00B65281">
            <w:pPr>
              <w:pStyle w:val="Heading1"/>
            </w:pPr>
            <w:r>
              <w:t>Qualifications</w:t>
            </w:r>
          </w:p>
        </w:tc>
      </w:tr>
      <w:tr w:rsidR="009029E6" w:rsidTr="00D3742E">
        <w:trPr>
          <w:gridAfter w:val="1"/>
          <w:wAfter w:w="18" w:type="dxa"/>
        </w:trPr>
        <w:tc>
          <w:tcPr>
            <w:tcW w:w="721" w:type="dxa"/>
          </w:tcPr>
          <w:p w:rsidR="009029E6" w:rsidRDefault="009029E6" w:rsidP="00B65281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9029E6" w:rsidRDefault="009029E6" w:rsidP="00B65281"/>
        </w:tc>
      </w:tr>
      <w:tr w:rsidR="009029E6" w:rsidTr="00D3742E">
        <w:trPr>
          <w:gridAfter w:val="1"/>
          <w:wAfter w:w="18" w:type="dxa"/>
        </w:trPr>
        <w:tc>
          <w:tcPr>
            <w:tcW w:w="721" w:type="dxa"/>
          </w:tcPr>
          <w:p w:rsidR="009029E6" w:rsidRDefault="009029E6" w:rsidP="00B65281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9029E6" w:rsidRDefault="009029E6" w:rsidP="00B6528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Required:</w:t>
            </w:r>
          </w:p>
        </w:tc>
      </w:tr>
      <w:tr w:rsidR="009029E6" w:rsidTr="00D3742E">
        <w:trPr>
          <w:gridAfter w:val="1"/>
          <w:wAfter w:w="18" w:type="dxa"/>
        </w:trPr>
        <w:tc>
          <w:tcPr>
            <w:tcW w:w="721" w:type="dxa"/>
          </w:tcPr>
          <w:p w:rsidR="009029E6" w:rsidRDefault="009029E6" w:rsidP="00B65281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9029E6" w:rsidRDefault="009029E6" w:rsidP="00B65281"/>
        </w:tc>
      </w:tr>
      <w:tr w:rsidR="009029E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9029E6" w:rsidRDefault="009029E6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9029E6" w:rsidRDefault="009029E6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1.</w:t>
            </w:r>
          </w:p>
        </w:tc>
        <w:tc>
          <w:tcPr>
            <w:tcW w:w="8334" w:type="dxa"/>
          </w:tcPr>
          <w:p w:rsidR="009029E6" w:rsidRDefault="009029E6" w:rsidP="00B65281">
            <w:pPr>
              <w:spacing w:after="120"/>
            </w:pPr>
            <w:proofErr w:type="spellStart"/>
            <w:proofErr w:type="gramStart"/>
            <w:r w:rsidRPr="00D3742E">
              <w:t>Bachelors</w:t>
            </w:r>
            <w:proofErr w:type="spellEnd"/>
            <w:proofErr w:type="gramEnd"/>
            <w:r w:rsidRPr="00D3742E">
              <w:t xml:space="preserve"> </w:t>
            </w:r>
            <w:r w:rsidR="004147F6" w:rsidRPr="00D3742E">
              <w:t>d</w:t>
            </w:r>
            <w:r w:rsidRPr="00D3742E">
              <w:t xml:space="preserve">egree or </w:t>
            </w:r>
            <w:r w:rsidR="004147F6" w:rsidRPr="00D3742E">
              <w:t>e</w:t>
            </w:r>
            <w:r w:rsidRPr="00D3742E">
              <w:t xml:space="preserve">quivalent </w:t>
            </w:r>
            <w:r w:rsidR="004147F6" w:rsidRPr="00D3742E">
              <w:t>e</w:t>
            </w:r>
            <w:r w:rsidRPr="00D3742E">
              <w:t>xperience</w:t>
            </w:r>
            <w:r w:rsidR="00E314F6">
              <w:t>.</w:t>
            </w:r>
          </w:p>
        </w:tc>
      </w:tr>
      <w:tr w:rsidR="009029E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9029E6" w:rsidRDefault="009029E6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9029E6" w:rsidRDefault="009029E6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2.</w:t>
            </w:r>
          </w:p>
        </w:tc>
        <w:tc>
          <w:tcPr>
            <w:tcW w:w="8334" w:type="dxa"/>
          </w:tcPr>
          <w:p w:rsidR="009029E6" w:rsidRDefault="000B5511" w:rsidP="00606CB7">
            <w:pPr>
              <w:spacing w:after="120"/>
            </w:pPr>
            <w:r>
              <w:t xml:space="preserve">Experience leading public or private sector </w:t>
            </w:r>
            <w:r w:rsidR="00606CB7">
              <w:t>procurement initiatives.</w:t>
            </w:r>
            <w:r>
              <w:t xml:space="preserve"> </w:t>
            </w:r>
          </w:p>
        </w:tc>
      </w:tr>
      <w:tr w:rsidR="00887F9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887F96" w:rsidRDefault="00887F96" w:rsidP="00B65281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887F96" w:rsidRDefault="00887F96" w:rsidP="00B65281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3.</w:t>
            </w:r>
          </w:p>
        </w:tc>
        <w:tc>
          <w:tcPr>
            <w:tcW w:w="8334" w:type="dxa"/>
          </w:tcPr>
          <w:p w:rsidR="00175F49" w:rsidRDefault="00887F96" w:rsidP="00B65281">
            <w:pPr>
              <w:spacing w:after="120"/>
            </w:pPr>
            <w:r>
              <w:t>Demonstrated project management experience</w:t>
            </w:r>
            <w:r w:rsidR="004147F6">
              <w:t>.</w:t>
            </w:r>
          </w:p>
        </w:tc>
      </w:tr>
      <w:tr w:rsidR="00887F96" w:rsidTr="00D3742E">
        <w:trPr>
          <w:gridAfter w:val="1"/>
          <w:wAfter w:w="18" w:type="dxa"/>
        </w:trPr>
        <w:tc>
          <w:tcPr>
            <w:tcW w:w="721" w:type="dxa"/>
          </w:tcPr>
          <w:p w:rsidR="00887F96" w:rsidRDefault="00887F96" w:rsidP="00D3742E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887F96" w:rsidRDefault="00887F96" w:rsidP="00D3742E"/>
        </w:tc>
      </w:tr>
      <w:tr w:rsidR="00887F96" w:rsidTr="00D3742E">
        <w:trPr>
          <w:gridAfter w:val="1"/>
          <w:wAfter w:w="18" w:type="dxa"/>
        </w:trPr>
        <w:tc>
          <w:tcPr>
            <w:tcW w:w="721" w:type="dxa"/>
          </w:tcPr>
          <w:p w:rsidR="00887F96" w:rsidRDefault="00887F96" w:rsidP="00D3742E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887F96" w:rsidRDefault="00887F96" w:rsidP="00D374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Preferred:</w:t>
            </w:r>
          </w:p>
        </w:tc>
      </w:tr>
      <w:tr w:rsidR="00887F96" w:rsidTr="00D3742E">
        <w:trPr>
          <w:gridAfter w:val="1"/>
          <w:wAfter w:w="18" w:type="dxa"/>
        </w:trPr>
        <w:tc>
          <w:tcPr>
            <w:tcW w:w="721" w:type="dxa"/>
          </w:tcPr>
          <w:p w:rsidR="00887F96" w:rsidRDefault="00887F96" w:rsidP="00D3742E">
            <w:pPr>
              <w:rPr>
                <w:b/>
                <w:bCs/>
              </w:rPr>
            </w:pPr>
          </w:p>
        </w:tc>
        <w:tc>
          <w:tcPr>
            <w:tcW w:w="8837" w:type="dxa"/>
            <w:gridSpan w:val="3"/>
          </w:tcPr>
          <w:p w:rsidR="00887F96" w:rsidRDefault="00887F96" w:rsidP="00D3742E"/>
        </w:tc>
      </w:tr>
      <w:tr w:rsidR="00887F9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887F96" w:rsidRDefault="00887F96" w:rsidP="00D3742E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887F96" w:rsidRDefault="00887F96" w:rsidP="00D3742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1.</w:t>
            </w:r>
          </w:p>
        </w:tc>
        <w:tc>
          <w:tcPr>
            <w:tcW w:w="8334" w:type="dxa"/>
          </w:tcPr>
          <w:p w:rsidR="00887F96" w:rsidRDefault="00887F96" w:rsidP="00D3742E">
            <w:pPr>
              <w:spacing w:after="120"/>
            </w:pPr>
            <w:proofErr w:type="spellStart"/>
            <w:r>
              <w:t>Masters</w:t>
            </w:r>
            <w:proofErr w:type="spellEnd"/>
            <w:r>
              <w:t xml:space="preserve"> degree in business administration</w:t>
            </w:r>
            <w:r w:rsidR="004147F6">
              <w:t xml:space="preserve"> or other applicable area of study.   </w:t>
            </w:r>
          </w:p>
        </w:tc>
      </w:tr>
      <w:tr w:rsidR="00887F9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887F96" w:rsidRDefault="00887F96" w:rsidP="00D3742E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887F96" w:rsidRDefault="00887F96" w:rsidP="00D3742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2.</w:t>
            </w:r>
          </w:p>
        </w:tc>
        <w:tc>
          <w:tcPr>
            <w:tcW w:w="8334" w:type="dxa"/>
          </w:tcPr>
          <w:p w:rsidR="00887F96" w:rsidRDefault="00D3742E" w:rsidP="00606CB7">
            <w:pPr>
              <w:spacing w:after="120"/>
            </w:pPr>
            <w:r>
              <w:t xml:space="preserve">2-3 </w:t>
            </w:r>
            <w:proofErr w:type="spellStart"/>
            <w:r>
              <w:t>years e</w:t>
            </w:r>
            <w:r w:rsidR="000B5511">
              <w:t>xperience</w:t>
            </w:r>
            <w:proofErr w:type="spellEnd"/>
            <w:r w:rsidR="000B5511">
              <w:t xml:space="preserve"> leading a public or private sector Strategic Sourcing </w:t>
            </w:r>
            <w:r w:rsidR="00606CB7">
              <w:t>category based initiatives i</w:t>
            </w:r>
            <w:r w:rsidR="000B5511">
              <w:t xml:space="preserve">n an institution </w:t>
            </w:r>
            <w:r w:rsidR="004147F6">
              <w:t>with</w:t>
            </w:r>
            <w:r w:rsidR="00887F96" w:rsidRPr="00887F96">
              <w:t xml:space="preserve"> comparable to the complexity of University of Maine Systems</w:t>
            </w:r>
            <w:r w:rsidR="00E314F6">
              <w:t>.</w:t>
            </w:r>
          </w:p>
        </w:tc>
      </w:tr>
      <w:tr w:rsidR="00887F96" w:rsidTr="00D3742E">
        <w:trPr>
          <w:gridAfter w:val="1"/>
          <w:wAfter w:w="18" w:type="dxa"/>
          <w:cantSplit/>
        </w:trPr>
        <w:tc>
          <w:tcPr>
            <w:tcW w:w="721" w:type="dxa"/>
          </w:tcPr>
          <w:p w:rsidR="00887F96" w:rsidRDefault="00887F96" w:rsidP="00D3742E">
            <w:pPr>
              <w:spacing w:after="120"/>
              <w:rPr>
                <w:b/>
                <w:bCs/>
              </w:rPr>
            </w:pPr>
          </w:p>
        </w:tc>
        <w:tc>
          <w:tcPr>
            <w:tcW w:w="503" w:type="dxa"/>
            <w:gridSpan w:val="2"/>
          </w:tcPr>
          <w:p w:rsidR="00887F96" w:rsidRDefault="00887F96" w:rsidP="00D3742E">
            <w:pPr>
              <w:pStyle w:val="Header"/>
              <w:tabs>
                <w:tab w:val="clear" w:pos="4320"/>
                <w:tab w:val="clear" w:pos="8640"/>
              </w:tabs>
              <w:spacing w:after="120"/>
              <w:jc w:val="right"/>
            </w:pPr>
            <w:r>
              <w:t>3.</w:t>
            </w:r>
          </w:p>
        </w:tc>
        <w:tc>
          <w:tcPr>
            <w:tcW w:w="8334" w:type="dxa"/>
          </w:tcPr>
          <w:p w:rsidR="00887F96" w:rsidRDefault="00D3742E" w:rsidP="00606CB7">
            <w:pPr>
              <w:spacing w:after="120"/>
            </w:pPr>
            <w:r>
              <w:t>Professional Certification (e.g., C.P.M., C.P.S.M.)</w:t>
            </w:r>
            <w:r w:rsidR="00E314F6">
              <w:t>.</w:t>
            </w:r>
          </w:p>
        </w:tc>
      </w:tr>
      <w:tr w:rsidR="009029E6" w:rsidTr="00D3742E">
        <w:tc>
          <w:tcPr>
            <w:tcW w:w="776" w:type="dxa"/>
            <w:gridSpan w:val="2"/>
          </w:tcPr>
          <w:p w:rsidR="00887F96" w:rsidRDefault="00887F96" w:rsidP="00D3742E">
            <w:pPr>
              <w:rPr>
                <w:b/>
                <w:bCs/>
                <w:u w:val="single"/>
              </w:rPr>
            </w:pPr>
          </w:p>
          <w:p w:rsidR="009029E6" w:rsidRDefault="009029E6" w:rsidP="00D3742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Note</w:t>
            </w:r>
            <w:r>
              <w:rPr>
                <w:b/>
                <w:bCs/>
              </w:rPr>
              <w:t>:</w:t>
            </w:r>
          </w:p>
        </w:tc>
        <w:tc>
          <w:tcPr>
            <w:tcW w:w="8800" w:type="dxa"/>
            <w:gridSpan w:val="3"/>
          </w:tcPr>
          <w:p w:rsidR="00887F96" w:rsidRDefault="00887F96" w:rsidP="00D3742E">
            <w:pPr>
              <w:pStyle w:val="BodyText"/>
              <w:rPr>
                <w:sz w:val="24"/>
              </w:rPr>
            </w:pPr>
          </w:p>
          <w:p w:rsidR="009029E6" w:rsidRDefault="009029E6" w:rsidP="00D3742E">
            <w:pPr>
              <w:pStyle w:val="BodyText"/>
              <w:rPr>
                <w:sz w:val="24"/>
              </w:rPr>
            </w:pPr>
            <w:r w:rsidRPr="0069052E">
              <w:rPr>
                <w:sz w:val="24"/>
              </w:rPr>
              <w:t>System-wide Services</w:t>
            </w:r>
            <w:r>
              <w:rPr>
                <w:sz w:val="24"/>
              </w:rPr>
              <w:t xml:space="preserve"> reserves the right to assign reasonably related additional duties and to change or reassign job duties.</w:t>
            </w:r>
          </w:p>
        </w:tc>
      </w:tr>
    </w:tbl>
    <w:p w:rsidR="009029E6" w:rsidRDefault="009029E6" w:rsidP="00D3742E">
      <w:pPr>
        <w:ind w:firstLine="720"/>
      </w:pPr>
    </w:p>
    <w:p w:rsidR="00C1790F" w:rsidRDefault="00C1790F" w:rsidP="00C1790F">
      <w:pPr>
        <w:pStyle w:val="Heading1"/>
      </w:pPr>
      <w:r>
        <w:t>Signatures</w:t>
      </w:r>
    </w:p>
    <w:p w:rsidR="00C1790F" w:rsidRDefault="00C1790F" w:rsidP="00C1790F"/>
    <w:p w:rsidR="00C1790F" w:rsidRDefault="00C1790F" w:rsidP="00C1790F">
      <w:r>
        <w:t>The signatures indicate the employee and immediate supervisor have reviewed the job description and had the opportunity to edit the document.</w:t>
      </w:r>
    </w:p>
    <w:p w:rsidR="00C1790F" w:rsidRDefault="00C1790F" w:rsidP="00C1790F"/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1063"/>
        <w:gridCol w:w="3370"/>
        <w:gridCol w:w="535"/>
        <w:gridCol w:w="719"/>
        <w:gridCol w:w="2307"/>
      </w:tblGrid>
      <w:tr w:rsidR="00C1790F" w:rsidTr="00C1790F">
        <w:tc>
          <w:tcPr>
            <w:tcW w:w="1368" w:type="dxa"/>
            <w:hideMark/>
          </w:tcPr>
          <w:p w:rsidR="00C1790F" w:rsidRDefault="00C1790F">
            <w:r>
              <w:t>Employee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0F" w:rsidRDefault="00C1790F"/>
        </w:tc>
        <w:tc>
          <w:tcPr>
            <w:tcW w:w="540" w:type="dxa"/>
          </w:tcPr>
          <w:p w:rsidR="00C1790F" w:rsidRDefault="00C1790F"/>
        </w:tc>
        <w:tc>
          <w:tcPr>
            <w:tcW w:w="720" w:type="dxa"/>
            <w:hideMark/>
          </w:tcPr>
          <w:p w:rsidR="00C1790F" w:rsidRDefault="00C1790F">
            <w: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0F" w:rsidRDefault="00C1790F"/>
        </w:tc>
      </w:tr>
      <w:tr w:rsidR="00C1790F" w:rsidTr="00C1790F">
        <w:tc>
          <w:tcPr>
            <w:tcW w:w="1368" w:type="dxa"/>
          </w:tcPr>
          <w:p w:rsidR="00C1790F" w:rsidRDefault="00C1790F"/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90F" w:rsidRDefault="00C1790F"/>
        </w:tc>
        <w:tc>
          <w:tcPr>
            <w:tcW w:w="540" w:type="dxa"/>
          </w:tcPr>
          <w:p w:rsidR="00C1790F" w:rsidRDefault="00C1790F"/>
        </w:tc>
        <w:tc>
          <w:tcPr>
            <w:tcW w:w="720" w:type="dxa"/>
          </w:tcPr>
          <w:p w:rsidR="00C1790F" w:rsidRDefault="00C1790F"/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90F" w:rsidRDefault="00C1790F"/>
        </w:tc>
      </w:tr>
      <w:tr w:rsidR="00C1790F" w:rsidTr="00C1790F">
        <w:tc>
          <w:tcPr>
            <w:tcW w:w="2448" w:type="dxa"/>
            <w:gridSpan w:val="2"/>
            <w:hideMark/>
          </w:tcPr>
          <w:p w:rsidR="00C1790F" w:rsidRDefault="00C1790F">
            <w:r>
              <w:t>Immediate Supervisor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0F" w:rsidRDefault="00C1790F"/>
        </w:tc>
        <w:tc>
          <w:tcPr>
            <w:tcW w:w="540" w:type="dxa"/>
          </w:tcPr>
          <w:p w:rsidR="00C1790F" w:rsidRDefault="00C1790F"/>
        </w:tc>
        <w:tc>
          <w:tcPr>
            <w:tcW w:w="720" w:type="dxa"/>
            <w:hideMark/>
          </w:tcPr>
          <w:p w:rsidR="00C1790F" w:rsidRDefault="00C1790F">
            <w:r>
              <w:t>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0F" w:rsidRDefault="00C1790F"/>
        </w:tc>
      </w:tr>
    </w:tbl>
    <w:p w:rsidR="00C1790F" w:rsidRDefault="00C1790F" w:rsidP="00C1790F"/>
    <w:sectPr w:rsidR="00C1790F" w:rsidSect="0090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DA" w:rsidRDefault="00FA02DA" w:rsidP="006E1DDC">
      <w:r>
        <w:separator/>
      </w:r>
    </w:p>
  </w:endnote>
  <w:endnote w:type="continuationSeparator" w:id="0">
    <w:p w:rsidR="00FA02DA" w:rsidRDefault="00FA02DA" w:rsidP="006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DA" w:rsidRDefault="00FA02DA" w:rsidP="006E1DDC">
      <w:r>
        <w:separator/>
      </w:r>
    </w:p>
  </w:footnote>
  <w:footnote w:type="continuationSeparator" w:id="0">
    <w:p w:rsidR="00FA02DA" w:rsidRDefault="00FA02DA" w:rsidP="006E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9D" w:rsidRDefault="003B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84B"/>
    <w:multiLevelType w:val="hybridMultilevel"/>
    <w:tmpl w:val="F4E821FC"/>
    <w:lvl w:ilvl="0" w:tplc="A63E30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81014"/>
    <w:multiLevelType w:val="hybridMultilevel"/>
    <w:tmpl w:val="E040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975"/>
    <w:multiLevelType w:val="hybridMultilevel"/>
    <w:tmpl w:val="B05E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01EE2"/>
    <w:multiLevelType w:val="hybridMultilevel"/>
    <w:tmpl w:val="F79A5988"/>
    <w:lvl w:ilvl="0" w:tplc="996401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944F2"/>
    <w:multiLevelType w:val="hybridMultilevel"/>
    <w:tmpl w:val="6628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823"/>
    <w:multiLevelType w:val="hybridMultilevel"/>
    <w:tmpl w:val="1F9E3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5323F"/>
    <w:multiLevelType w:val="hybridMultilevel"/>
    <w:tmpl w:val="CE7CF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13ED3"/>
    <w:multiLevelType w:val="hybridMultilevel"/>
    <w:tmpl w:val="BF50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3FDB"/>
    <w:multiLevelType w:val="hybridMultilevel"/>
    <w:tmpl w:val="DDE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33D4F"/>
    <w:multiLevelType w:val="hybridMultilevel"/>
    <w:tmpl w:val="69C2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A0A28"/>
    <w:multiLevelType w:val="hybridMultilevel"/>
    <w:tmpl w:val="91F4D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12548"/>
    <w:multiLevelType w:val="hybridMultilevel"/>
    <w:tmpl w:val="D19252D0"/>
    <w:lvl w:ilvl="0" w:tplc="996401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47EC6"/>
    <w:multiLevelType w:val="hybridMultilevel"/>
    <w:tmpl w:val="BFFA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84A21"/>
    <w:multiLevelType w:val="hybridMultilevel"/>
    <w:tmpl w:val="28882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6"/>
    <w:rsid w:val="00001075"/>
    <w:rsid w:val="00006E2D"/>
    <w:rsid w:val="0004720A"/>
    <w:rsid w:val="000540DB"/>
    <w:rsid w:val="00083655"/>
    <w:rsid w:val="0009573A"/>
    <w:rsid w:val="000973D0"/>
    <w:rsid w:val="000B5511"/>
    <w:rsid w:val="00106CDA"/>
    <w:rsid w:val="00115DC6"/>
    <w:rsid w:val="001164A6"/>
    <w:rsid w:val="00125282"/>
    <w:rsid w:val="00175F49"/>
    <w:rsid w:val="001808DB"/>
    <w:rsid w:val="00194EC6"/>
    <w:rsid w:val="001A0157"/>
    <w:rsid w:val="00220EF9"/>
    <w:rsid w:val="002750F4"/>
    <w:rsid w:val="002852DC"/>
    <w:rsid w:val="002A6207"/>
    <w:rsid w:val="002D700A"/>
    <w:rsid w:val="002D73E7"/>
    <w:rsid w:val="002E0B24"/>
    <w:rsid w:val="002E1CF2"/>
    <w:rsid w:val="0035656E"/>
    <w:rsid w:val="00370619"/>
    <w:rsid w:val="003A092A"/>
    <w:rsid w:val="003B439D"/>
    <w:rsid w:val="00406133"/>
    <w:rsid w:val="004147F6"/>
    <w:rsid w:val="00417A07"/>
    <w:rsid w:val="00450E81"/>
    <w:rsid w:val="004D0FB3"/>
    <w:rsid w:val="004E12B5"/>
    <w:rsid w:val="004E7F80"/>
    <w:rsid w:val="005212DB"/>
    <w:rsid w:val="0052572A"/>
    <w:rsid w:val="0052719F"/>
    <w:rsid w:val="00546873"/>
    <w:rsid w:val="0055107F"/>
    <w:rsid w:val="005564CF"/>
    <w:rsid w:val="00590DC3"/>
    <w:rsid w:val="005A14E8"/>
    <w:rsid w:val="005E30F4"/>
    <w:rsid w:val="005F12F3"/>
    <w:rsid w:val="00606CB7"/>
    <w:rsid w:val="00627E89"/>
    <w:rsid w:val="00694461"/>
    <w:rsid w:val="00696D72"/>
    <w:rsid w:val="006D2808"/>
    <w:rsid w:val="006E1DDC"/>
    <w:rsid w:val="007236AF"/>
    <w:rsid w:val="00741974"/>
    <w:rsid w:val="007A182A"/>
    <w:rsid w:val="007C134F"/>
    <w:rsid w:val="007C70FF"/>
    <w:rsid w:val="007D5192"/>
    <w:rsid w:val="0080077F"/>
    <w:rsid w:val="008048D4"/>
    <w:rsid w:val="00825B5F"/>
    <w:rsid w:val="00846D1C"/>
    <w:rsid w:val="00860849"/>
    <w:rsid w:val="00887818"/>
    <w:rsid w:val="00887F96"/>
    <w:rsid w:val="00896B03"/>
    <w:rsid w:val="008D4A93"/>
    <w:rsid w:val="008F2340"/>
    <w:rsid w:val="008F4C7E"/>
    <w:rsid w:val="008F699E"/>
    <w:rsid w:val="009029E6"/>
    <w:rsid w:val="00906E4B"/>
    <w:rsid w:val="0093491C"/>
    <w:rsid w:val="00960764"/>
    <w:rsid w:val="0096727F"/>
    <w:rsid w:val="00985DEE"/>
    <w:rsid w:val="009A4AB2"/>
    <w:rsid w:val="009A7325"/>
    <w:rsid w:val="009B50C0"/>
    <w:rsid w:val="00A13897"/>
    <w:rsid w:val="00A65FC2"/>
    <w:rsid w:val="00AC3B0F"/>
    <w:rsid w:val="00AD41A3"/>
    <w:rsid w:val="00B23CFD"/>
    <w:rsid w:val="00B27594"/>
    <w:rsid w:val="00B40A05"/>
    <w:rsid w:val="00B53CF0"/>
    <w:rsid w:val="00B62C21"/>
    <w:rsid w:val="00B65281"/>
    <w:rsid w:val="00BD5E2C"/>
    <w:rsid w:val="00BD6E2F"/>
    <w:rsid w:val="00BE0889"/>
    <w:rsid w:val="00BE5BCF"/>
    <w:rsid w:val="00BF6F6F"/>
    <w:rsid w:val="00C1790F"/>
    <w:rsid w:val="00C20AEB"/>
    <w:rsid w:val="00C22FAB"/>
    <w:rsid w:val="00C42F82"/>
    <w:rsid w:val="00C4686B"/>
    <w:rsid w:val="00C61A94"/>
    <w:rsid w:val="00C67A2F"/>
    <w:rsid w:val="00C73AFE"/>
    <w:rsid w:val="00C8554A"/>
    <w:rsid w:val="00C92778"/>
    <w:rsid w:val="00CD42DC"/>
    <w:rsid w:val="00D231BE"/>
    <w:rsid w:val="00D249A0"/>
    <w:rsid w:val="00D3742E"/>
    <w:rsid w:val="00D57236"/>
    <w:rsid w:val="00D578CD"/>
    <w:rsid w:val="00D57C4D"/>
    <w:rsid w:val="00D57C51"/>
    <w:rsid w:val="00D87ACC"/>
    <w:rsid w:val="00DC1093"/>
    <w:rsid w:val="00E1508B"/>
    <w:rsid w:val="00E219FF"/>
    <w:rsid w:val="00E257DE"/>
    <w:rsid w:val="00E314F6"/>
    <w:rsid w:val="00E40CFF"/>
    <w:rsid w:val="00EB1670"/>
    <w:rsid w:val="00ED7ED1"/>
    <w:rsid w:val="00EF6093"/>
    <w:rsid w:val="00F1425B"/>
    <w:rsid w:val="00F90D04"/>
    <w:rsid w:val="00F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9CF76"/>
  <w15:docId w15:val="{CCBAB34A-E4E2-418B-9255-168F5B5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29E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9029E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9E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29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90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29E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029E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29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02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1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D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A987-24C5-4D6B-B61B-B8680BDA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UMSATES</dc:creator>
  <cp:lastModifiedBy>Nancy M Desmarais</cp:lastModifiedBy>
  <cp:revision>2</cp:revision>
  <cp:lastPrinted>2013-08-13T20:01:00Z</cp:lastPrinted>
  <dcterms:created xsi:type="dcterms:W3CDTF">2019-01-07T18:21:00Z</dcterms:created>
  <dcterms:modified xsi:type="dcterms:W3CDTF">2019-01-07T18:21:00Z</dcterms:modified>
</cp:coreProperties>
</file>